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ChainSentry — Market Activation Suite</w:t>
      </w:r>
    </w:p>
    <w:p>
      <w:r>
        <w:t>Canonical v1 · 8 October 2026 · Aras Integrasi Sdn Bhd — ChainSentry Product Division</w:t>
      </w:r>
    </w:p>
    <w:p>
      <w:r>
        <w:br w:type="page"/>
      </w:r>
    </w:p>
    <w:p>
      <w:pPr>
        <w:pStyle w:val="Heading1"/>
      </w:pPr>
      <w:r>
        <w:t>ChainSentry — Market Activation Suite</w:t>
      </w:r>
    </w:p>
    <w:p>
      <w:r>
        <w:rPr>
          <w:b/>
        </w:rPr>
        <w:t>Status:</w:t>
      </w:r>
      <w:r>
        <w:t xml:space="preserve"> Canonical v1 (2026-10-08) · Owner: Hadri (accountable) · Prepared: Vesper</w:t>
      </w:r>
    </w:p>
    <w:p>
      <w:r>
        <w:rPr>
          <w:b/>
        </w:rPr>
        <w:t>Relationship to strategy:</w:t>
      </w:r>
      <w:r>
        <w:t xml:space="preserve"> </w:t>
      </w:r>
      <w:r>
        <w:rPr>
          <w:rFonts w:ascii="Consolas" w:hAnsi="Consolas"/>
          <w:sz w:val="19"/>
        </w:rPr>
        <w:t>strategy/STRATEGY.md</w:t>
      </w:r>
      <w:r>
        <w:t xml:space="preserve"> v2 is the </w:t>
      </w:r>
      <w:r>
        <w:rPr>
          <w:i/>
        </w:rPr>
        <w:t>why</w:t>
      </w:r>
      <w:r>
        <w:t xml:space="preserve"> (positioning, parity, gates, kill metrics). This suite is the canonical </w:t>
      </w:r>
      <w:r>
        <w:rPr>
          <w:i/>
        </w:rPr>
        <w:t>how</w:t>
      </w:r>
      <w:r>
        <w:t xml:space="preserve"> — paths, sequencing, resourcing, metrics, decisions. Where they differ, this suite governs execution and STRATEGY.md governs doctrine.</w:t>
      </w:r>
    </w:p>
    <w:p>
      <w:r>
        <w:rPr>
          <w:b/>
        </w:rPr>
        <w:t>Grounding:</w:t>
      </w:r>
      <w:r>
        <w:t xml:space="preserve"> DEC-20260914-001 · DEC-20260915-001 · INIT-20261006-001 · OPP-20261006-001..004 · ACT-20261006-003..008 · ACT-20261008-001/002 · RSK-20261006-001 · rosters: </w:t>
      </w:r>
      <w:r>
        <w:rPr>
          <w:rFonts w:ascii="Consolas" w:hAnsi="Consolas"/>
          <w:sz w:val="19"/>
        </w:rPr>
        <w:t>roster/target-roster.csv</w:t>
      </w:r>
      <w:r>
        <w:t xml:space="preserve"> (50) + </w:t>
      </w:r>
      <w:r>
        <w:rPr>
          <w:rFonts w:ascii="Consolas" w:hAnsi="Consolas"/>
          <w:sz w:val="19"/>
        </w:rPr>
        <w:t>roster/mea-roster.csv</w:t>
      </w:r>
      <w:r>
        <w:t xml:space="preserve"> (72) · JD-AML-CFT-SPECIALIST v2.</w:t>
      </w:r>
    </w:p>
    <w:p>
      <w:pPr>
        <w:pStyle w:val="Heading2"/>
      </w:pPr>
      <w:r>
        <w:t>Contents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Contains</w:t>
            </w:r>
          </w:p>
        </w:tc>
      </w:tr>
      <w:tr>
        <w:tc>
          <w:tcPr>
            <w:tcW w:type="dxa" w:w="4320"/>
          </w:tcPr>
          <w:p>
            <w:r>
              <w:rPr>
                <w:rFonts w:ascii="Consolas" w:hAnsi="Consolas"/>
                <w:sz w:val="19"/>
              </w:rPr>
              <w:t>00-VISION-MISSION.md</w:t>
            </w:r>
          </w:p>
        </w:tc>
        <w:tc>
          <w:tcPr>
            <w:tcW w:type="dxa" w:w="4320"/>
          </w:tcPr>
          <w:p>
            <w:r>
              <w:rPr>
                <w:sz w:val="19"/>
              </w:rPr>
              <w:t>Vision, mission, values, strategic intent, definition of winning</w:t>
            </w:r>
          </w:p>
        </w:tc>
      </w:tr>
      <w:tr>
        <w:tc>
          <w:tcPr>
            <w:tcW w:type="dxa" w:w="4320"/>
          </w:tcPr>
          <w:p>
            <w:r>
              <w:rPr>
                <w:rFonts w:ascii="Consolas" w:hAnsi="Consolas"/>
                <w:sz w:val="19"/>
              </w:rPr>
              <w:t>01-ACTIVATION-PATHS.md</w:t>
            </w:r>
          </w:p>
        </w:tc>
        <w:tc>
          <w:tcPr>
            <w:tcW w:type="dxa" w:w="4320"/>
          </w:tcPr>
          <w:p>
            <w:r>
              <w:rPr>
                <w:sz w:val="19"/>
              </w:rPr>
              <w:t>Six activation paths to market — mechanics, ICP, first accounts, economics, gates, kill criteria — plus portfolio selection matrix</w:t>
            </w:r>
          </w:p>
        </w:tc>
      </w:tr>
      <w:tr>
        <w:tc>
          <w:tcPr>
            <w:tcW w:type="dxa" w:w="4320"/>
          </w:tcPr>
          <w:p>
            <w:r>
              <w:rPr>
                <w:rFonts w:ascii="Consolas" w:hAnsi="Consolas"/>
                <w:sz w:val="19"/>
              </w:rPr>
              <w:t>02-MASTER-PLAN.md</w:t>
            </w:r>
          </w:p>
        </w:tc>
        <w:tc>
          <w:tcPr>
            <w:tcW w:type="dxa" w:w="4320"/>
          </w:tcPr>
          <w:p>
            <w:r>
              <w:rPr>
                <w:sz w:val="19"/>
              </w:rPr>
              <w:t>Three-phase calendar (Foundation → Ignition → Scale), week-level gates, wave sequencing, budget envelope, staffing plan</w:t>
            </w:r>
          </w:p>
        </w:tc>
      </w:tr>
      <w:tr>
        <w:tc>
          <w:tcPr>
            <w:tcW w:type="dxa" w:w="4320"/>
          </w:tcPr>
          <w:p>
            <w:r>
              <w:rPr>
                <w:rFonts w:ascii="Consolas" w:hAnsi="Consolas"/>
                <w:sz w:val="19"/>
              </w:rPr>
              <w:t>03-KPI-RISK-DECISIONS.md</w:t>
            </w:r>
          </w:p>
        </w:tc>
        <w:tc>
          <w:tcPr>
            <w:tcW w:type="dxa" w:w="4320"/>
          </w:tcPr>
          <w:p>
            <w:r>
              <w:rPr>
                <w:sz w:val="19"/>
              </w:rPr>
              <w:t>KPI tree, risk register, decision requests awaiting Hadri, assumptions and epistemic flags</w:t>
            </w:r>
          </w:p>
        </w:tc>
      </w:tr>
    </w:tbl>
    <w:p/>
    <w:p>
      <w:pPr>
        <w:pStyle w:val="Heading2"/>
      </w:pPr>
      <w:r>
        <w:t>How to use this suite</w:t>
      </w:r>
    </w:p>
    <w:p>
      <w:pPr>
        <w:pStyle w:val="ListNumber"/>
      </w:pPr>
      <w:r>
        <w:t xml:space="preserve">Decisions in </w:t>
      </w:r>
      <w:r>
        <w:rPr>
          <w:rFonts w:ascii="Consolas" w:hAnsi="Consolas"/>
          <w:sz w:val="19"/>
        </w:rPr>
        <w:t>03</w:t>
      </w:r>
      <w:r>
        <w:t xml:space="preserve"> §3 are the operator's to rule on — each has a recommended answer and a default-if-silent.</w:t>
      </w:r>
    </w:p>
    <w:p>
      <w:pPr>
        <w:pStyle w:val="ListNumber"/>
      </w:pPr>
      <w:r>
        <w:t xml:space="preserve">Weekly execution follows </w:t>
      </w:r>
      <w:r>
        <w:rPr>
          <w:rFonts w:ascii="Consolas" w:hAnsi="Consolas"/>
          <w:sz w:val="19"/>
        </w:rPr>
        <w:t>02</w:t>
      </w:r>
      <w:r>
        <w:t xml:space="preserve"> §2 calendar. Every Friday, KPI tree in </w:t>
      </w:r>
      <w:r>
        <w:rPr>
          <w:rFonts w:ascii="Consolas" w:hAnsi="Consolas"/>
          <w:sz w:val="19"/>
        </w:rPr>
        <w:t>03</w:t>
      </w:r>
      <w:r>
        <w:t xml:space="preserve"> §1 gets one line per metric; the wk4/wk8/wk12 circuit-breaker gates are read from STRATEGY.md §9 and are not negotiable by mood.</w:t>
      </w:r>
    </w:p>
    <w:p>
      <w:pPr>
        <w:pStyle w:val="ListNumber"/>
      </w:pPr>
      <w:r>
        <w:t xml:space="preserve">Path activation/deactivation is recorded in </w:t>
      </w:r>
      <w:r>
        <w:rPr>
          <w:rFonts w:ascii="Consolas" w:hAnsi="Consolas"/>
          <w:sz w:val="19"/>
        </w:rPr>
        <w:t>01</w:t>
      </w:r>
      <w:r>
        <w:t xml:space="preserve"> §8 decision log — paths are hypotheses, and hypotheses get killed on evidence, not on attachment.</w:t>
      </w:r>
    </w:p>
    <w:p>
      <w:pPr>
        <w:pStyle w:val="ListNumber"/>
      </w:pPr>
      <w:r>
        <w:t>Outreach mass-sends stay gated behind G2 (Reactor/CSV import demo-able). Inbound demand (e.g. PDRM JSJK, CAAM) is handled under the Gate-Exception Protocol (</w:t>
      </w:r>
      <w:r>
        <w:rPr>
          <w:rFonts w:ascii="Consolas" w:hAnsi="Consolas"/>
          <w:sz w:val="19"/>
        </w:rPr>
        <w:t>01</w:t>
      </w:r>
      <w:r>
        <w:t xml:space="preserve"> §7) — brief methodology and recorded output; no live demo until G2 passes.</w:t>
      </w:r>
    </w:p>
    <w:p>
      <w:pPr>
        <w:pStyle w:val="Heading2"/>
      </w:pPr>
      <w:r>
        <w:t>Epistemic note</w:t>
      </w:r>
    </w:p>
    <w:p>
      <w:r>
        <w:t xml:space="preserve">Facts sourced from the register are unprefixed. </w:t>
      </w:r>
      <w:r>
        <w:rPr>
          <w:rFonts w:ascii="Consolas" w:hAnsi="Consolas"/>
          <w:sz w:val="19"/>
        </w:rPr>
        <w:t>[EST]</w:t>
      </w:r>
      <w:r>
        <w:t xml:space="preserve"> = estimate. </w:t>
      </w:r>
      <w:r>
        <w:rPr>
          <w:rFonts w:ascii="Consolas" w:hAnsi="Consolas"/>
          <w:sz w:val="19"/>
        </w:rPr>
        <w:t>[INFERENCE]</w:t>
      </w:r>
      <w:r>
        <w:t xml:space="preserve"> = derived judgment. </w:t>
      </w:r>
      <w:r>
        <w:rPr>
          <w:rFonts w:ascii="Consolas" w:hAnsi="Consolas"/>
          <w:sz w:val="19"/>
        </w:rPr>
        <w:t>[ASSESSMENT]</w:t>
      </w:r>
      <w:r>
        <w:t xml:space="preserve"> = analytical claim. Regulatory triggers cited were news-corroborated 2026-10-06/08; re-verify any trigger older than 30 days before external use.</w:t>
      </w:r>
    </w:p>
    <w:p>
      <w:r>
        <w:br w:type="page"/>
      </w:r>
    </w:p>
    <w:p>
      <w:pPr>
        <w:pStyle w:val="Heading1"/>
      </w:pPr>
      <w:r>
        <w:t>00 — Vision, Mission &amp; Strategic Intent</w:t>
      </w:r>
    </w:p>
    <w:p>
      <w:r>
        <w:rPr>
          <w:b/>
        </w:rPr>
        <w:t>Status:</w:t>
      </w:r>
      <w:r>
        <w:t xml:space="preserve"> Canonical v1 (2026-10-08) · Approved by: pending Hadri sign-off · Basis: DEC-20260915-001 pivot decision</w:t>
      </w:r>
    </w:p>
    <w:p>
      <w:pPr>
        <w:pStyle w:val="Heading2"/>
      </w:pPr>
      <w:r>
        <w:t>Vision</w:t>
      </w:r>
    </w:p>
    <w:p>
      <w:r>
        <w:rPr>
          <w:b/>
        </w:rPr>
        <w:t>Financial-crime investigations run on evidence any court can audit, in any jurisdiction, without any country renting another country's cloud to get it.</w:t>
      </w:r>
    </w:p>
    <w:p>
      <w:r>
        <w:t>The long game is structural: blockchain tracing has become critical national casework — scam centres, mule networks, sanction evasion, ransomware off-ramps — yet the tooling is concentrated in a handful of US cloud vendors whose data practices, pricing and geopolitical exposure their customers cannot fully control. Sovereign states and their supervised institutions deserve tracing infrastructure they can deploy, audit and defend at home. ChainSentry exists to be that standard for the corridor states between the Gulf and Southeast Asia — and to make that standard as respected as the incumbents' within a decade.</w:t>
      </w:r>
    </w:p>
    <w:p>
      <w:pPr>
        <w:pStyle w:val="Heading2"/>
      </w:pPr>
      <w:r>
        <w:t>Mission (5-year horizon, to 2031)</w:t>
      </w:r>
    </w:p>
    <w:p>
      <w:r>
        <w:rPr>
          <w:b/>
        </w:rPr>
        <w:t>Make ChainSentry the reference blockchain-forensics platform for the Gulf–SEA–BRICS corridors</w:t>
      </w:r>
      <w:r>
        <w:t xml:space="preserve"> — measured by: live sovereign deployments in ≥12 states, the corridor attribution corpus that even incumbents' customers benchmark against, and methodology so openly published that our reports are accepted in MY, UAE, CH and VN courts without a brand halo doing the arguing.</w:t>
      </w:r>
    </w:p>
    <w:p>
      <w:pPr>
        <w:pStyle w:val="Heading2"/>
      </w:pPr>
      <w:r>
        <w:t>Values (how we behave while getting there)</w:t>
      </w:r>
    </w:p>
    <w:p>
      <w:pPr>
        <w:pStyle w:val="ListNumber"/>
      </w:pPr>
      <w:r>
        <w:rPr>
          <w:b/>
        </w:rPr>
        <w:t>Assess, don't assert.</w:t>
      </w:r>
      <w:r>
        <w:t xml:space="preserve"> We publish precision and recall, including where we are young and wrong. Auditable-but-honest is the product; opacity is the incumbent's weakness we exploit, never copy.</w:t>
      </w:r>
    </w:p>
    <w:p>
      <w:pPr>
        <w:pStyle w:val="ListNumber"/>
      </w:pPr>
      <w:r>
        <w:rPr>
          <w:b/>
        </w:rPr>
        <w:t>Sovereignty is a duty, not a feature.</w:t>
      </w:r>
      <w:r>
        <w:t xml:space="preserve"> Customer data handling is designed from the premise that the customer's law is the only law that reaches their case files.</w:t>
      </w:r>
    </w:p>
    <w:p>
      <w:pPr>
        <w:pStyle w:val="ListNumber"/>
      </w:pPr>
      <w:r>
        <w:rPr>
          <w:b/>
        </w:rPr>
        <w:t>Corridors over coverage.</w:t>
      </w:r>
      <w:r>
        <w:t xml:space="preserve"> We would rather own one corridor end-to-end (USDT/TRON Gulf→SEA off-ramp) than claim five we only half-label. Depth is our defensible position.</w:t>
      </w:r>
    </w:p>
    <w:p>
      <w:pPr>
        <w:pStyle w:val="ListNumber"/>
      </w:pPr>
      <w:r>
        <w:rPr>
          <w:b/>
        </w:rPr>
        <w:t>The roster is a promise.</w:t>
      </w:r>
      <w:r>
        <w:t xml:space="preserve"> Every named target on the register is a commitment to handle with care; a burned design-partner relationship in a small regulator circle costs more than a lost quarter.</w:t>
      </w:r>
    </w:p>
    <w:p>
      <w:pPr>
        <w:pStyle w:val="ListNumber"/>
      </w:pPr>
      <w:r>
        <w:rPr>
          <w:b/>
        </w:rPr>
        <w:t>Kill on evidence.</w:t>
      </w:r>
      <w:r>
        <w:t xml:space="preserve"> Circuit breakers (STRATEGY §9) bind leadership too. Pivot cost is always lower than sunk-cost drift.</w:t>
      </w:r>
    </w:p>
    <w:p>
      <w:pPr>
        <w:pStyle w:val="Heading2"/>
      </w:pPr>
      <w:r>
        <w:t>Strategic intent (2026–2028)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Horizon</w:t>
            </w:r>
          </w:p>
        </w:tc>
        <w:tc>
          <w:tcPr>
            <w:tcW w:type="dxa" w:w="2880"/>
          </w:tcPr>
          <w:p>
            <w:r>
              <w:rPr>
                <w:b/>
              </w:rPr>
              <w:t>Intent</w:t>
            </w:r>
          </w:p>
        </w:tc>
        <w:tc>
          <w:tcPr>
            <w:tcW w:type="dxa" w:w="2880"/>
          </w:tcPr>
          <w:p>
            <w:r>
              <w:rPr>
                <w:b/>
              </w:rPr>
              <w:t>Proof it worked</w:t>
            </w:r>
          </w:p>
        </w:tc>
      </w:tr>
      <w:tr>
        <w:tc>
          <w:tcPr>
            <w:tcW w:type="dxa" w:w="2880"/>
          </w:tcPr>
          <w:p>
            <w:r>
              <w:rPr>
                <w:b/>
                <w:sz w:val="19"/>
              </w:rPr>
              <w:t>Now → 6 mo</w:t>
            </w:r>
            <w:r>
              <w:rPr>
                <w:sz w:val="19"/>
              </w:rPr>
              <w:t xml:space="preserve"> (to Q1 2027)</w:t>
            </w:r>
          </w:p>
        </w:tc>
        <w:tc>
          <w:tcPr>
            <w:tcW w:type="dxa" w:w="2880"/>
          </w:tcPr>
          <w:p>
            <w:r>
              <w:rPr>
                <w:sz w:val="19"/>
              </w:rPr>
              <w:t>Convert demand we already have (PDRM inbound, CAAM goodwill, MY gov base) into 2–3 named design partners on lawful, data-rights-bearing pilots; close the product's demo-ability gap (G1–G2); staff the compliance and pipeline seats.</w:t>
            </w:r>
          </w:p>
        </w:tc>
        <w:tc>
          <w:tcPr>
            <w:tcW w:type="dxa" w:w="2880"/>
          </w:tcPr>
          <w:p>
            <w:r>
              <w:rPr>
                <w:sz w:val="19"/>
              </w:rPr>
              <w:t>≥3 signed design partners; first customer-named report; corpus v0 on one corridor</w:t>
            </w:r>
          </w:p>
        </w:tc>
      </w:tr>
      <w:tr>
        <w:tc>
          <w:tcPr>
            <w:tcW w:type="dxa" w:w="2880"/>
          </w:tcPr>
          <w:p>
            <w:r>
              <w:rPr>
                <w:b/>
                <w:sz w:val="19"/>
              </w:rPr>
              <w:t>6–18 mo</w:t>
            </w:r>
          </w:p>
        </w:tc>
        <w:tc>
          <w:tcPr>
            <w:tcW w:type="dxa" w:w="2880"/>
          </w:tcPr>
          <w:p>
            <w:r>
              <w:rPr>
                <w:sz w:val="19"/>
              </w:rPr>
              <w:t xml:space="preserve">Become </w:t>
            </w:r>
            <w:r>
              <w:rPr>
                <w:i/>
                <w:sz w:val="19"/>
              </w:rPr>
              <w:t>the listed tracing option</w:t>
            </w:r>
            <w:r>
              <w:rPr>
                <w:sz w:val="19"/>
              </w:rPr>
              <w:t xml:space="preserve"> in at least one live licensing regime (VARA/SCA tooling list, SC MY expectations, or VN pilot-licence bundle) — so cohort demand pulls us in instead of us pushing door-to-door.</w:t>
            </w:r>
          </w:p>
        </w:tc>
        <w:tc>
          <w:tcPr>
            <w:tcW w:type="dxa" w:w="2880"/>
          </w:tcPr>
          <w:p>
            <w:r>
              <w:rPr>
                <w:sz w:val="19"/>
              </w:rPr>
              <w:t>1 regulator-listed status; ≥8 paying or conversion-committed deployments; pricing power (win rate &gt;50% in displacement bids where we bid)</w:t>
            </w:r>
          </w:p>
        </w:tc>
      </w:tr>
      <w:tr>
        <w:tc>
          <w:tcPr>
            <w:tcW w:type="dxa" w:w="2880"/>
          </w:tcPr>
          <w:p>
            <w:r>
              <w:rPr>
                <w:b/>
                <w:sz w:val="19"/>
              </w:rPr>
              <w:t>18–36 mo</w:t>
            </w:r>
          </w:p>
        </w:tc>
        <w:tc>
          <w:tcPr>
            <w:tcW w:type="dxa" w:w="2880"/>
          </w:tcPr>
          <w:p>
            <w:r>
              <w:rPr>
                <w:sz w:val="19"/>
              </w:rPr>
              <w:t>Two corridors owned end-to-end; CH/EU credibility play converts the 2026 methodology investment into 2027–28 revenue; channel (Big-4 + SRO schemes) carries the long tail without headcount.</w:t>
            </w:r>
          </w:p>
        </w:tc>
        <w:tc>
          <w:tcPr>
            <w:tcW w:type="dxa" w:w="2880"/>
          </w:tcPr>
          <w:p>
            <w:r>
              <w:rPr>
                <w:sz w:val="19"/>
              </w:rPr>
              <w:t>≥12 state deployments or supervised-entity deployments; channel &gt;30% of new bookings; first renewal signed without discount</w:t>
            </w:r>
          </w:p>
        </w:tc>
      </w:tr>
    </w:tbl>
    <w:p/>
    <w:p>
      <w:pPr>
        <w:pStyle w:val="Heading2"/>
      </w:pPr>
      <w:r>
        <w:t>Definition of winning (what "as par as Chainalysis" actually means)</w:t>
      </w:r>
    </w:p>
    <w:p>
      <w:r>
        <w:t xml:space="preserve">Per STRATEGY.md §11, we do </w:t>
      </w:r>
      <w:r>
        <w:rPr>
          <w:b/>
        </w:rPr>
        <w:t>not</w:t>
      </w:r>
      <w:r>
        <w:t xml:space="preserve"> chase global feature parity. Winning in our wedge is four parities:</w:t>
      </w:r>
    </w:p>
    <w:p>
      <w:pPr>
        <w:pStyle w:val="ListNumber"/>
      </w:pPr>
      <w:r>
        <w:rPr>
          <w:b/>
        </w:rPr>
        <w:t>Deployment parity</w:t>
      </w:r>
      <w:r>
        <w:t xml:space="preserve"> — sovereign on-prem/locked-host they structurally won't build (it cannibalises their cloud P&amp;L).</w:t>
      </w:r>
    </w:p>
    <w:p>
      <w:pPr>
        <w:pStyle w:val="ListNumber"/>
      </w:pPr>
      <w:r>
        <w:rPr>
          <w:b/>
        </w:rPr>
        <w:t>Corridor parity</w:t>
      </w:r>
      <w:r>
        <w:t xml:space="preserve"> — measurably better attribution than them on the Gulf→SEA USDT/TRON graph, verified by third-party or customer-side evaluation on pilot data.</w:t>
      </w:r>
    </w:p>
    <w:p>
      <w:pPr>
        <w:pStyle w:val="ListNumber"/>
      </w:pPr>
      <w:r>
        <w:rPr>
          <w:b/>
        </w:rPr>
        <w:t>Audit parity</w:t>
      </w:r>
      <w:r>
        <w:t xml:space="preserve"> — published methodology, label provenance, reproducible reports; their brand halo is irrelevant against "defend every label in </w:t>
      </w:r>
      <w:r>
        <w:rPr>
          <w:i/>
        </w:rPr>
        <w:t>your</w:t>
      </w:r>
      <w:r>
        <w:t xml:space="preserve"> court."</w:t>
      </w:r>
    </w:p>
    <w:p>
      <w:pPr>
        <w:pStyle w:val="ListNumber"/>
      </w:pPr>
      <w:r>
        <w:rPr>
          <w:b/>
        </w:rPr>
        <w:t>Price-scope parity</w:t>
      </w:r>
      <w:r>
        <w:t xml:space="preserve"> — proportionate licensing (per monitored address-band) for supervised SMBs, the segment their seat model prices out.</w:t>
      </w:r>
    </w:p>
    <w:p>
      <w:r>
        <w:t xml:space="preserve">When a Malaysian, Emirati or Vietnamese regulator can say — </w:t>
      </w:r>
      <w:r>
        <w:rPr>
          <w:i/>
        </w:rPr>
        <w:t>ChainSentry covers our corridors, the data never leaves our jurisdiction, and we can defend every label in our court</w:t>
      </w:r>
      <w:r>
        <w:t xml:space="preserve"> — that sentence </w:t>
      </w:r>
      <w:r>
        <w:rPr>
          <w:b/>
        </w:rPr>
        <w:t>is</w:t>
      </w:r>
      <w:r>
        <w:t xml:space="preserve"> parity where it matters. Everything else is backlog.</w:t>
      </w:r>
    </w:p>
    <w:p>
      <w:pPr>
        <w:pStyle w:val="Heading2"/>
      </w:pPr>
      <w:r>
        <w:t>What we are not</w:t>
      </w:r>
    </w:p>
    <w:p>
      <w:pPr>
        <w:pStyle w:val="ListBullet"/>
      </w:pPr>
      <w:r>
        <w:t>Not a cheaper Chainalysis clone (never the pitch, never the pricing page).</w:t>
      </w:r>
    </w:p>
    <w:p>
      <w:pPr>
        <w:pStyle w:val="ListBullet"/>
      </w:pPr>
      <w:r>
        <w:t xml:space="preserve">Not a BRICS product (BRICS </w:t>
      </w:r>
      <w:r>
        <w:rPr>
          <w:b/>
        </w:rPr>
        <w:t>corridors</w:t>
      </w:r>
      <w:r>
        <w:t xml:space="preserve"> are the market; the product is neutral, auditable, and Western-reviewable — this distinction protects the CH/EU play).</w:t>
      </w:r>
    </w:p>
    <w:p>
      <w:pPr>
        <w:pStyle w:val="ListBullet"/>
      </w:pPr>
      <w:r>
        <w:t>Not a services company that happens to own software (Aras' services arm feeds us pilots and delivery capacity, but ChainSentry is judged as product or it goes to maintenance — STRATEGY §9 wk12 breaker).</w:t>
      </w:r>
    </w:p>
    <w:p>
      <w:pPr>
        <w:pStyle w:val="ListBullet"/>
      </w:pPr>
      <w:r>
        <w:t>Not a data-resale play: the corpus exists to make customers' cases stronger, and every label's provenance is a customer right, not our merchandise.</w:t>
      </w:r>
    </w:p>
    <w:p>
      <w:r>
        <w:rPr>
          <w:i/>
        </w:rPr>
        <w:t>Sign-off request: Hadri to approve, amend or reject this section as canonical (see 03 §3 Decision D-01). Until approved, everything downstream still executes; approval changes nothing operationally but fixes the narrative for the board deck.</w:t>
      </w:r>
    </w:p>
    <w:p>
      <w:r>
        <w:br w:type="page"/>
      </w:r>
    </w:p>
    <w:p>
      <w:pPr>
        <w:pStyle w:val="Heading1"/>
      </w:pPr>
      <w:r>
        <w:t>01 — Activation Paths to Market</w:t>
      </w:r>
    </w:p>
    <w:p>
      <w:r>
        <w:rPr>
          <w:b/>
        </w:rPr>
        <w:t>Status:</w:t>
      </w:r>
      <w:r>
        <w:t xml:space="preserve"> Canonical v1 (2026-10-08) · Six paths, run as a portfolio: two primary, two supporting, two optionality. Each path carries its own kill criteria — paths are hypotheses.</w:t>
      </w:r>
    </w:p>
    <w:p>
      <w:r>
        <w:t xml:space="preserve">Every path shares the same </w:t>
      </w:r>
      <w:r>
        <w:rPr>
          <w:b/>
        </w:rPr>
        <w:t>non-negotiables</w:t>
      </w:r>
      <w:r>
        <w:t>: (a) no live demo before G2 passes (Gate-Exception Protocol §7 for inbound); (b) every pilot contract carries the data-rights clause (ACT-20261008-002 hire owns drafting); (c) regulator seats get policy-grade handling, never tester terms; (d) we never pitch "cheaper Chainalysis."</w:t>
      </w:r>
    </w:p>
    <w:p>
      <w:pPr>
        <w:pStyle w:val="Heading2"/>
      </w:pPr>
      <w:r>
        <w:t>Path 1 — Home-Market Anchor (Malaysia) · PRIMARY</w:t>
      </w:r>
    </w:p>
    <w:p>
      <w:r>
        <w:rPr>
          <w:b/>
        </w:rPr>
        <w:t>Thesis.</w:t>
      </w:r>
      <w:r>
        <w:t xml:space="preserve"> Aras' existing government trust is the cheapest pipeline the company will ever have. Malaysia gives us: a live inbound demand event (PDRM JSJK briefing, Oct 2026), a supervisory cascade route (BNM/SC set expectations → banks and DAXs buy), and a domestic reference story that travels into every other market pitch. Malaysia is not the revenue market — it is the </w:t>
      </w:r>
      <w:r>
        <w:rPr>
          <w:b/>
        </w:rPr>
        <w:t>proof market</w:t>
      </w:r>
      <w:r>
        <w:t>.</w:t>
      </w:r>
    </w:p>
    <w:p>
      <w:r>
        <w:rPr>
          <w:b/>
        </w:rPr>
        <w:t>Mechanics.</w:t>
      </w:r>
    </w:p>
    <w:p>
      <w:pPr>
        <w:pStyle w:val="ListBullet"/>
      </w:pPr>
      <w:r>
        <w:rPr>
          <w:b/>
        </w:rPr>
        <w:t>LE casework wedge (MY-01 PDRM MAPO/JSJK).</w:t>
      </w:r>
      <w:r>
        <w:t xml:space="preserve"> Convert the inbound briefing into a 3-case, 90-day casework pilot (mule chains, scam-officer networks, exchange off-ramps), methodology + recorded public-data output first, jointly published framing. Exit artifact: pilot offer with data-rights clause + direct-procurement justification path (security exemption) started early.</w:t>
      </w:r>
    </w:p>
    <w:p>
      <w:pPr>
        <w:pStyle w:val="ListBullet"/>
      </w:pPr>
      <w:r>
        <w:rPr>
          <w:b/>
        </w:rPr>
        <w:t>Supervisory cascade (MY-02 BNM, MY-03 SC).</w:t>
      </w:r>
      <w:r>
        <w:t xml:space="preserve"> Never sell to the regulator. Co-write the quiet supervisory artefact ("crypto-AML expectations for MY DAXs, with a sovereign tracing option"); submit a consultation response naming proportionate surveillance standards. The whole GTM is one examiner question in a bank audit: </w:t>
      </w:r>
      <w:r>
        <w:rPr>
          <w:i/>
        </w:rPr>
        <w:t>"what tracing tool do you run?"</w:t>
      </w:r>
    </w:p>
    <w:p>
      <w:pPr>
        <w:pStyle w:val="ListBullet"/>
      </w:pPr>
      <w:r>
        <w:rPr>
          <w:b/>
        </w:rPr>
        <w:t>Displacement cohort (MY-06 Luno, MY-07 MX Global, MY-08 Tokenize, MY-09 TnG, MY-11 Zetrix).</w:t>
      </w:r>
      <w:r>
        <w:t xml:space="preserve"> Door = the compliance officer carrying the SC deadline. First move = free flow-scanner audit on their existing Reactor/CSV exports, report back in a week. Pilot = 60-day inbound-flow monitoring priced under their renewal. Luno caveat: sign MY-branch scope only.</w:t>
      </w:r>
    </w:p>
    <w:p>
      <w:pPr>
        <w:pStyle w:val="ListBullet"/>
      </w:pPr>
      <w:r>
        <w:rPr>
          <w:b/>
        </w:rPr>
        <w:t>Distribution multiplier (MY-04 NACSA, MY-05 CyberSecurity Malaysia).</w:t>
      </w:r>
      <w:r>
        <w:t xml:space="preserve"> Existing MyFleet trust → national distribution and channel credibility, not direct revenue.</w:t>
      </w:r>
    </w:p>
    <w:p>
      <w:r>
        <w:rPr>
          <w:b/>
        </w:rPr>
        <w:t>ICP.</w:t>
      </w:r>
      <w:r>
        <w:t xml:space="preserve"> Malaysian supervised entities with SC/BNM compliance deadlines; national LE units with caseloads and no tracing stack.</w:t>
      </w:r>
    </w:p>
    <w:p>
      <w:r>
        <w:rPr>
          <w:b/>
        </w:rPr>
        <w:t>First accounts (roster IDs).</w:t>
      </w:r>
      <w:r>
        <w:t xml:space="preserve"> MY-01, MY-02, MY-03, MY-04, MY-06, MY-07, MY-08, MY-09, MY-11, MY-10 (existing Aras client).</w:t>
      </w:r>
    </w:p>
    <w:p>
      <w:r>
        <w:rPr>
          <w:b/>
        </w:rPr>
        <w:t>Economics [EST].</w:t>
      </w:r>
      <w:r>
        <w:t xml:space="preserve"> MY pilot ACV band RM 120k–400k/yr; government deployments carry mandatory local-support clause. Domestic anchor worth 1 reference + cascade, not 1 logo.</w:t>
      </w:r>
    </w:p>
    <w:p>
      <w:r>
        <w:rPr>
          <w:b/>
        </w:rPr>
        <w:t>Gates.</w:t>
      </w:r>
      <w:r>
        <w:t xml:space="preserve"> G1+G2 before any casework live-tooling; JSJK briefing proceeds under §7 protocol now.</w:t>
      </w:r>
    </w:p>
    <w:p>
      <w:r>
        <w:rPr>
          <w:b/>
        </w:rPr>
        <w:t>Kill/continue.</w:t>
      </w:r>
      <w:r>
        <w:t xml:space="preserve"> If 3 case-pilot offer + 1 DAX paid pilot not signed by wk12 → home market proves to be a services market; downgrade path to reference-farm only.</w:t>
      </w:r>
    </w:p>
    <w:p>
      <w:pPr>
        <w:pStyle w:val="Heading2"/>
      </w:pPr>
      <w:r>
        <w:t>Path 2 — Regulator-Listed Campaign (UAE/GCC first, then Turkey/Egypt) · PRIMARY</w:t>
      </w:r>
    </w:p>
    <w:p>
      <w:r>
        <w:rPr>
          <w:b/>
        </w:rPr>
        <w:t>Thesis.</w:t>
      </w:r>
      <w:r>
        <w:t xml:space="preserve"> Live licensing regimes create </w:t>
      </w:r>
      <w:r>
        <w:rPr>
          <w:b/>
        </w:rPr>
        <w:t>cohort capex</w:t>
      </w:r>
      <w:r>
        <w:t>: every new licensee must buy an AML stack in the same quarter. One regulator relationship therefore equals dozens of pre-qualified buyers, and "listed by the regulator" is a trust signal neither we nor the incumbents can fake. The regime is live now: SCA issued its first federal VA-platform licence (Bybit) in 2026; VARA's licensee base is established; Turkey's Law 7518 custodian wave and Egypt's FRA first-approvals cohort are standing up greenfield stacks with no incumbent entrenched.</w:t>
      </w:r>
    </w:p>
    <w:p>
      <w:r>
        <w:rPr>
          <w:b/>
        </w:rPr>
        <w:t>Mechanics.</w:t>
      </w:r>
    </w:p>
    <w:p>
      <w:pPr>
        <w:pStyle w:val="ListBullet"/>
      </w:pPr>
      <w:r>
        <w:rPr>
          <w:b/>
        </w:rPr>
        <w:t>Approved-tooling listing.</w:t>
      </w:r>
      <w:r>
        <w:t xml:space="preserve"> Apply as registered technology vendor to VARA and SCA via the compliance-consultancy channel (ACT-20261006-005 partner doubles as route). Deliver a corridor credibility artefact first ("Gulf outflows traced" report) — incumbents are thin on MENA attribution; this is where a young corpus still wins.</w:t>
      </w:r>
    </w:p>
    <w:p>
      <w:pPr>
        <w:pStyle w:val="ListBullet"/>
      </w:pPr>
      <w:r>
        <w:rPr>
          <w:b/>
        </w:rPr>
        <w:t>Supervisory console.</w:t>
      </w:r>
      <w:r>
        <w:t xml:space="preserve"> Offer the regulator its own market-monitoring console (VARA/SCA/MASAK/FRA each get one framing) — the regulator supervises </w:t>
      </w:r>
      <w:r>
        <w:rPr>
          <w:i/>
        </w:rPr>
        <w:t>with</w:t>
      </w:r>
      <w:r>
        <w:t xml:space="preserve"> us, licensees inherit us as "regulator-listed."</w:t>
      </w:r>
    </w:p>
    <w:p>
      <w:pPr>
        <w:pStyle w:val="ListBullet"/>
      </w:pPr>
      <w:r>
        <w:rPr>
          <w:b/>
        </w:rPr>
        <w:t>Day-one bundles for licensee cohorts.</w:t>
      </w:r>
      <w:r>
        <w:t xml:space="preserve"> VN pilot licensees, Egypt FRA first-approvals, Turkey custodian wave: stack + policy docs + filing support, timed to licence issuance and launch demos.</w:t>
      </w:r>
    </w:p>
    <w:p>
      <w:pPr>
        <w:pStyle w:val="ListBullet"/>
      </w:pPr>
      <w:r>
        <w:rPr>
          <w:b/>
        </w:rPr>
        <w:t>Displacement at branch level.</w:t>
      </w:r>
      <w:r>
        <w:t xml:space="preserve"> AE-08 Binance FZE, AE-10 OKX UAE, AE-09 Bybit UAE (new SCA licence ⇒ guaranteed tooling review): global HQ deals ≠ branch corpus needs; quote the branch.</w:t>
      </w:r>
    </w:p>
    <w:p>
      <w:pPr>
        <w:pStyle w:val="ListBullet"/>
      </w:pPr>
      <w:r>
        <w:rPr>
          <w:b/>
        </w:rPr>
        <w:t>One-door-many-markets plays.</w:t>
      </w:r>
      <w:r>
        <w:t xml:space="preserve"> TR-04 Paribu bought CoinMENA (up to $240M): one pilot = TR + GCC logos. AE-21 Emirates NBD majority-owns BitOasis: one door = bank AML desk + controlling shareholder of AE-11.</w:t>
      </w:r>
    </w:p>
    <w:p>
      <w:r>
        <w:rPr>
          <w:b/>
        </w:rPr>
        <w:t>ICP.</w:t>
      </w:r>
      <w:r>
        <w:t xml:space="preserve"> Regulators writing live VASP rulebooks; newly licensed or newly federalised VASPs; bank-owned exchanges; branches of global exchanges under local rulebooks.</w:t>
      </w:r>
    </w:p>
    <w:p>
      <w:r>
        <w:rPr>
          <w:b/>
        </w:rPr>
        <w:t>First accounts.</w:t>
      </w:r>
      <w:r>
        <w:t xml:space="preserve"> AE-01 VARA, AE-02 SCA, AE-03 UAE FIU, AE-11 BitOasis, AE-12 M2, AE-09 Bybit UAE, TR-01 SPK, TR-02 MASAK, TR-03 BtcTurk, TR-04 Paribu, EG-01 FRA, EG-02 first-cohort.</w:t>
      </w:r>
    </w:p>
    <w:p>
      <w:r>
        <w:rPr>
          <w:b/>
        </w:rPr>
        <w:t>Economics [EST].</w:t>
      </w:r>
      <w:r>
        <w:t xml:space="preserve"> GCC ACV band USD 60k–250k/yr mid-tier, address-band priced; regulator consoles are low-revenue, high-leverage (never priced as the deal).</w:t>
      </w:r>
    </w:p>
    <w:p>
      <w:r>
        <w:rPr>
          <w:b/>
        </w:rPr>
        <w:t>Gates.</w:t>
      </w:r>
      <w:r>
        <w:t xml:space="preserve"> No UAE campaign until G2 demo-able + local channel signed (ACT-005 deadline); VARA win ≠ SCA win — run as two relationships with different doors.</w:t>
      </w:r>
    </w:p>
    <w:p>
      <w:r>
        <w:rPr>
          <w:b/>
        </w:rPr>
        <w:t>Kill/continue.</w:t>
      </w:r>
      <w:r>
        <w:t xml:space="preserve"> If zero listing progress and zero licensee pilots by wk16 in a regime we named live → the regime's capex is going to incumbents; re-tier before more travel spend.</w:t>
      </w:r>
    </w:p>
    <w:p>
      <w:pPr>
        <w:pStyle w:val="Heading2"/>
      </w:pPr>
      <w:r>
        <w:t>Path 3 — Sovereignty Prestige Play (Switzerland) · SUPPORTING (2026 credibility → 2027 revenue)</w:t>
      </w:r>
    </w:p>
    <w:p>
      <w:r>
        <w:rPr>
          <w:b/>
        </w:rPr>
        <w:t>Thesis.</w:t>
      </w:r>
      <w:r>
        <w:t xml:space="preserve"> A Swiss institution using us neutralises product-origin objections everywhere else — including in the Gulf and in MY government procurement. The CH market itself is slow and conservative; we treat it as an </w:t>
      </w:r>
      <w:r>
        <w:rPr>
          <w:b/>
        </w:rPr>
        <w:t>endorsement market</w:t>
      </w:r>
      <w:r>
        <w:t>, played only through doors where our wedge is the product itself: data-residency ("cases never leave CH") and corridor coverage MROS/Fedpol can't buy elsewhere.</w:t>
      </w:r>
    </w:p>
    <w:p>
      <w:r>
        <w:rPr>
          <w:b/>
        </w:rPr>
        <w:t>Mechanics.</w:t>
      </w:r>
    </w:p>
    <w:p>
      <w:pPr>
        <w:pStyle w:val="ListBullet"/>
      </w:pPr>
      <w:r>
        <w:rPr>
          <w:b/>
        </w:rPr>
        <w:t>Methodology-first, never a sales call.</w:t>
      </w:r>
      <w:r>
        <w:t xml:space="preserve"> Published detection methodology + open-sourced heuristics + Swiss-hosted instance quoted </w:t>
      </w:r>
      <w:r>
        <w:rPr>
          <w:i/>
        </w:rPr>
        <w:t>as the product</w:t>
      </w:r>
      <w:r>
        <w:t xml:space="preserve"> (SAR-type data never leaves CH — hosting is the quote, not the software). Academic affiliation (ETH/Zug circle) recruited for court credibility (STRATEGY parity item 4).</w:t>
      </w:r>
    </w:p>
    <w:p>
      <w:pPr>
        <w:pStyle w:val="ListBullet"/>
      </w:pPr>
      <w:r>
        <w:rPr>
          <w:b/>
        </w:rPr>
        <w:t>FIU corridor pilot.</w:t>
      </w:r>
      <w:r>
        <w:t xml:space="preserve"> CH-03 MROS drowning in SARs → redacted-cluster corridor-enrichment pilot with SLA, routed through the Swiss AML-consultancy channel (X-01 VQF adjacency), not direct.</w:t>
      </w:r>
    </w:p>
    <w:p>
      <w:pPr>
        <w:pStyle w:val="ListBullet"/>
      </w:pPr>
      <w:r>
        <w:rPr>
          <w:b/>
        </w:rPr>
        <w:t>LE prestige anchor.</w:t>
      </w:r>
      <w:r>
        <w:t xml:space="preserve"> CH-01 Fedpol ICS via cooperation-channel adjacency [EST: weakest door in the family]; ACT-20261006-006 rule applies — no warm path by deadline → formally defer CH to 2027, no drift.</w:t>
      </w:r>
    </w:p>
    <w:p>
      <w:pPr>
        <w:pStyle w:val="ListBullet"/>
      </w:pPr>
      <w:r>
        <w:rPr>
          <w:b/>
        </w:rPr>
        <w:t>DLT-bank displacement.</w:t>
      </w:r>
      <w:r>
        <w:t xml:space="preserve"> CH-04 Sygnum, CH-05 SEBA–ABACUS, CH-06 Bitcoin Suisse: single-vendor Western exposure is a board-level risk they already price; CH-07 Incore cross-border settlement = sanctions screen as the opening wedge.</w:t>
      </w:r>
    </w:p>
    <w:p>
      <w:r>
        <w:rPr>
          <w:b/>
        </w:rPr>
        <w:t>ICP.</w:t>
      </w:r>
      <w:r>
        <w:t xml:space="preserve"> Secrecy-law-constrained institutions; DLT banks with board-level vendor-concentration anxiety; federal LE with cross-border corridor blind spots.</w:t>
      </w:r>
    </w:p>
    <w:p>
      <w:r>
        <w:rPr>
          <w:b/>
        </w:rPr>
        <w:t>Economics [EST].</w:t>
      </w:r>
      <w:r>
        <w:t xml:space="preserve"> CH hosting + licence premium tier USD 150k–500k/yr; 2026 revenue expectation ≈ zero — budget this path in credibility, not cash.</w:t>
      </w:r>
    </w:p>
    <w:p>
      <w:r>
        <w:rPr>
          <w:b/>
        </w:rPr>
        <w:t>Kill/continue.</w:t>
      </w:r>
      <w:r>
        <w:t xml:space="preserve"> ACT-006 rule stands: no warm Fedpol-adjacent path by its deadline → whole path defers to 2027, resources return to Paths 1–2.</w:t>
      </w:r>
    </w:p>
    <w:p>
      <w:pPr>
        <w:pStyle w:val="Heading2"/>
      </w:pPr>
      <w:r>
        <w:t>Path 4 — Channel-Led Expansion (Big-4 / SRO / consultancies) · SUPPORTING (starts wk1, pays wk12+)</w:t>
      </w:r>
    </w:p>
    <w:p>
      <w:r>
        <w:rPr>
          <w:b/>
        </w:rPr>
        <w:t>Thesis.</w:t>
      </w:r>
      <w:r>
        <w:t xml:space="preserve"> We will never hire our way into 17 markets. The firms that audit the regulators and write licensees' compliance manuals already own the trust and the delivery capacity; they need a product with a story their clients haven't seen yet. Channel revenue arrives late but carries no headcount.</w:t>
      </w:r>
    </w:p>
    <w:p>
      <w:r>
        <w:rPr>
          <w:b/>
        </w:rPr>
        <w:t>Mechanics.</w:t>
      </w:r>
    </w:p>
    <w:p>
      <w:pPr>
        <w:pStyle w:val="ListBullet"/>
      </w:pPr>
      <w:r>
        <w:rPr>
          <w:b/>
        </w:rPr>
        <w:t>X-11 Big-4 forensic arms (MY + ME)</w:t>
      </w:r>
      <w:r>
        <w:t xml:space="preserve"> — they audit supervised entities; they resell tooling; sign a reference-delivery partner first in MY (Aras services arm is a credible peer-partner, not a sub-contractor).</w:t>
      </w:r>
    </w:p>
    <w:p>
      <w:pPr>
        <w:pStyle w:val="ListBullet"/>
      </w:pPr>
      <w:r>
        <w:rPr>
          <w:b/>
        </w:rPr>
        <w:t>X-01 VQF-class SRO schemes</w:t>
      </w:r>
      <w:r>
        <w:t xml:space="preserve"> — one Swiss SRO agreement = reach to hundreds of DLV members; bundle the day-one AML pack under their scheme branding.</w:t>
      </w:r>
    </w:p>
    <w:p>
      <w:pPr>
        <w:pStyle w:val="ListBullet"/>
      </w:pPr>
      <w:r>
        <w:rPr>
          <w:b/>
        </w:rPr>
        <w:t>X-02/X-12 SEA + MENA AML consultancies</w:t>
      </w:r>
      <w:r>
        <w:t xml:space="preserve"> — the VARA/SCA/MASAK door itself (Path 2 runs on this rail); pay listing/referral economics honestly.</w:t>
      </w:r>
    </w:p>
    <w:p>
      <w:pPr>
        <w:pStyle w:val="ListBullet"/>
      </w:pPr>
      <w:r>
        <w:rPr>
          <w:b/>
        </w:rPr>
        <w:t>X-14 freezone formation agents</w:t>
      </w:r>
      <w:r>
        <w:t xml:space="preserve"> — lead flow at licence-formation time, before compliance budgets exist.</w:t>
      </w:r>
    </w:p>
    <w:p>
      <w:pPr>
        <w:pStyle w:val="ListBullet"/>
      </w:pPr>
      <w:r>
        <w:rPr>
          <w:b/>
        </w:rPr>
        <w:t>Enablement kit (build wk1–4):</w:t>
      </w:r>
      <w:r>
        <w:t xml:space="preserve"> methodology paper, corridor report, white-label day-one AML template pack, address-band partner pricing sheet, one-page regulator-listing explainer.</w:t>
      </w:r>
    </w:p>
    <w:p>
      <w:r>
        <w:rPr>
          <w:b/>
        </w:rPr>
        <w:t>Economics [EST].</w:t>
      </w:r>
      <w:r>
        <w:t xml:space="preserve"> Channel margin 20–30% of ACV [ASSESSMENT]; first channel-sourced booking wk12–wk20 target.</w:t>
      </w:r>
    </w:p>
    <w:p>
      <w:r>
        <w:rPr>
          <w:b/>
        </w:rPr>
        <w:t>Kill/continue.</w:t>
      </w:r>
      <w:r>
        <w:t xml:space="preserve"> No channel-signed booking by wk20 → channel is a slow-revenue myth for us at this stage; keep listings for doors only, cut partner-program spend.</w:t>
      </w:r>
    </w:p>
    <w:p>
      <w:pPr>
        <w:pStyle w:val="Heading2"/>
      </w:pPr>
      <w:r>
        <w:t>Path 5 — Product-Led Evidence (corpus as marketing) · SUPPORTING from day one, cheap</w:t>
      </w:r>
    </w:p>
    <w:p>
      <w:r>
        <w:rPr>
          <w:b/>
        </w:rPr>
        <w:t>Thesis.</w:t>
      </w:r>
      <w:r>
        <w:t xml:space="preserve"> Our wedge is published methodology vs opaque incumbents. In markets where buyers must defend cases in their own courts, </w:t>
      </w:r>
      <w:r>
        <w:rPr>
          <w:b/>
        </w:rPr>
        <w:t>evidence artefacts convert better than campaigns</w:t>
      </w:r>
      <w:r>
        <w:t xml:space="preserve"> — and every artefact doubles as corpus work, so marketing spend buys product moat at the same time.</w:t>
      </w:r>
    </w:p>
    <w:p>
      <w:r>
        <w:rPr>
          <w:b/>
        </w:rPr>
        <w:t>Mechanics.</w:t>
      </w:r>
    </w:p>
    <w:p>
      <w:pPr>
        <w:pStyle w:val="ListBullet"/>
      </w:pPr>
      <w:r>
        <w:rPr>
          <w:b/>
        </w:rPr>
        <w:t>Quarterly corridor report</w:t>
      </w:r>
      <w:r>
        <w:t xml:space="preserve"> ("Gulf outflows traced", "SEA scam-officer off-ramps Q4-2026") produced from public data + our labelling engine; every named target on the roster receives it addressed to their desk.</w:t>
      </w:r>
    </w:p>
    <w:p>
      <w:pPr>
        <w:pStyle w:val="ListBullet"/>
      </w:pPr>
      <w:r>
        <w:rPr>
          <w:b/>
        </w:rPr>
        <w:t>Public-labelled case teardowns</w:t>
      </w:r>
      <w:r>
        <w:t xml:space="preserve"> of </w:t>
      </w:r>
      <w:r>
        <w:rPr>
          <w:i/>
        </w:rPr>
        <w:t>public</w:t>
      </w:r>
      <w:r>
        <w:t xml:space="preserve"> incidents (exchange hacks, sanctioned-entity flows) — methodology on display, no customer data touched.</w:t>
      </w:r>
    </w:p>
    <w:p>
      <w:pPr>
        <w:pStyle w:val="ListBullet"/>
      </w:pPr>
      <w:r>
        <w:rPr>
          <w:b/>
        </w:rPr>
        <w:t>Reactor-compatible free flow-scanner audit</w:t>
      </w:r>
      <w:r>
        <w:t xml:space="preserve"> as the standing first-meeting gift (already strategy: value before trust).</w:t>
      </w:r>
    </w:p>
    <w:p>
      <w:pPr>
        <w:pStyle w:val="ListBullet"/>
      </w:pPr>
      <w:r>
        <w:rPr>
          <w:b/>
        </w:rPr>
        <w:t>Methodology paper + precision/recall dashboard</w:t>
      </w:r>
      <w:r>
        <w:t xml:space="preserve"> — once corpus QA is the AML/CFT hire's, this becomes a monthly rhythm; publish even when recall is humble (auditable-but-young, per Values §1).</w:t>
      </w:r>
    </w:p>
    <w:p>
      <w:pPr>
        <w:pStyle w:val="ListBullet"/>
      </w:pPr>
      <w:r>
        <w:rPr>
          <w:b/>
        </w:rPr>
        <w:t>Academic co-label</w:t>
      </w:r>
      <w:r>
        <w:t xml:space="preserve"> (Path 3 ETH/Zug adjacency) stamps independence on the numbers.</w:t>
      </w:r>
    </w:p>
    <w:p>
      <w:r>
        <w:rPr>
          <w:b/>
        </w:rPr>
        <w:t>Economics [EST].</w:t>
      </w:r>
      <w:r>
        <w:t xml:space="preserve"> ~0.2 FTE + travel; target: ≥15% of meetings-generated via artefact inbound by wk16 [ASSESSMENT].</w:t>
      </w:r>
    </w:p>
    <w:p>
      <w:r>
        <w:rPr>
          <w:b/>
        </w:rPr>
        <w:t>Kill/continue.</w:t>
      </w:r>
      <w:r>
        <w:t xml:space="preserve"> Artefacts producing zero inbound by wk16 → distribution problem, not content problem; fold into Path 4 enablement and stop standalone publishing.</w:t>
      </w:r>
    </w:p>
    <w:p>
      <w:pPr>
        <w:pStyle w:val="Heading2"/>
      </w:pPr>
      <w:r>
        <w:t>Path 6 — Adjacent-Wedge Bundle (E-KYC + RWA/tokenisation monitoring) · OPTIONALITY (evaluate at wk12 gate)</w:t>
      </w:r>
    </w:p>
    <w:p>
      <w:r>
        <w:rPr>
          <w:b/>
        </w:rPr>
        <w:t>Thesis.</w:t>
      </w:r>
      <w:r>
        <w:t xml:space="preserve"> Two adjacent wedges where the incumbents are absent or shallow, and where existing roster accounts would take the bundle in the same contract: (a) </w:t>
      </w:r>
      <w:r>
        <w:rPr>
          <w:b/>
        </w:rPr>
        <w:t>G6 E-KYC/deepfake-document assurance</w:t>
      </w:r>
      <w:r>
        <w:t xml:space="preserve"> for VASP onboarding desks (Gulf mule-account crisis makes this live demand, and MY-01 casework keeps generating scam-onboarding evidence); (b) </w:t>
      </w:r>
      <w:r>
        <w:rPr>
          <w:b/>
        </w:rPr>
        <w:t>RWA/tokenised-deposit monitoring</w:t>
      </w:r>
      <w:r>
        <w:t xml:space="preserve"> — UAE bank tokenisation cohort (AE-17 RAKBANK AED stablecoin approval, AE-27 Securitize ME) is a near-empty market.</w:t>
      </w:r>
    </w:p>
    <w:p>
      <w:r>
        <w:rPr>
          <w:b/>
        </w:rPr>
        <w:t>Mechanics.</w:t>
      </w:r>
      <w:r>
        <w:t xml:space="preserve"> Bundle into existing pilots as an add-on at design-partner pricing; do </w:t>
      </w:r>
      <w:r>
        <w:rPr>
          <w:b/>
        </w:rPr>
        <w:t>not</w:t>
      </w:r>
      <w:r>
        <w:t xml:space="preserve"> cold-sell either wedge standalone before wk12. RWA monitoring requires product work beyond current gates — scope only if wk12 gate is green.</w:t>
      </w:r>
    </w:p>
    <w:p>
      <w:r>
        <w:rPr>
          <w:b/>
        </w:rPr>
        <w:t>Economics [EST].</w:t>
      </w:r>
      <w:r>
        <w:t xml:space="preserve"> Attach-rate target 20–30% of signed pilots by wk24; treat revenue as upside, plan without it.</w:t>
      </w:r>
    </w:p>
    <w:p>
      <w:r>
        <w:rPr>
          <w:b/>
        </w:rPr>
        <w:t>Kill/continue.</w:t>
      </w:r>
      <w:r>
        <w:t xml:space="preserve"> If pilot partners show no pull for either wedge by wk12 gate → park; revisit at 2027 planning. Bundling prematurely dilutes the core tracing story (RSK-20261006-001 variant).</w:t>
      </w:r>
    </w:p>
    <w:p>
      <w:pPr>
        <w:pStyle w:val="Heading2"/>
      </w:pPr>
      <w:r>
        <w:t>7. Gate-Exception Protocol (inbound demand before G2)</w:t>
      </w:r>
    </w:p>
    <w:p>
      <w:pPr>
        <w:pStyle w:val="ListNumber"/>
      </w:pPr>
      <w:r>
        <w:t>Accept inbound briefings (e.g. PDRM JSJK) — awareness is allowed; live demo is not.</w:t>
      </w:r>
    </w:p>
    <w:p>
      <w:pPr>
        <w:pStyle w:val="ListNumber"/>
      </w:pPr>
      <w:r>
        <w:t>Brief on methodology + recorded public-data flow-scanner output only; state plainly that live demonstration follows product readiness (frames discipline as rigour, not weakness).</w:t>
      </w:r>
    </w:p>
    <w:p>
      <w:pPr>
        <w:pStyle w:val="ListNumber"/>
      </w:pPr>
      <w:r>
        <w:t>Exit artifact always = pilot offer with data-rights clause, not applause.</w:t>
      </w:r>
    </w:p>
    <w:p>
      <w:pPr>
        <w:pStyle w:val="ListNumber"/>
      </w:pPr>
      <w:r>
        <w:t>Log every exception against the ACT that owns it (ACT-20261008-001).</w:t>
      </w:r>
    </w:p>
    <w:p>
      <w:pPr>
        <w:pStyle w:val="Heading2"/>
      </w:pPr>
      <w:r>
        <w:t>8. Path portfolio — selection matrix &amp; decision 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Path</w:t>
            </w:r>
          </w:p>
        </w:tc>
        <w:tc>
          <w:tcPr>
            <w:tcW w:type="dxa" w:w="1440"/>
          </w:tcPr>
          <w:p>
            <w:r>
              <w:rPr>
                <w:b/>
              </w:rPr>
              <w:t>Cost</w:t>
            </w:r>
          </w:p>
        </w:tc>
        <w:tc>
          <w:tcPr>
            <w:tcW w:type="dxa" w:w="1440"/>
          </w:tcPr>
          <w:p>
            <w:r>
              <w:rPr>
                <w:b/>
              </w:rPr>
              <w:t>Time-to-first-proof</w:t>
            </w:r>
          </w:p>
        </w:tc>
        <w:tc>
          <w:tcPr>
            <w:tcW w:type="dxa" w:w="1440"/>
          </w:tcPr>
          <w:p>
            <w:r>
              <w:rPr>
                <w:b/>
              </w:rPr>
              <w:t>Dependency</w:t>
            </w:r>
          </w:p>
        </w:tc>
        <w:tc>
          <w:tcPr>
            <w:tcW w:type="dxa" w:w="1440"/>
          </w:tcPr>
          <w:p>
            <w:r>
              <w:rPr>
                <w:b/>
              </w:rPr>
              <w:t>2027 role</w:t>
            </w:r>
          </w:p>
        </w:tc>
        <w:tc>
          <w:tcPr>
            <w:tcW w:type="dxa" w:w="1440"/>
          </w:tcPr>
          <w:p>
            <w:r>
              <w:rPr>
                <w:b/>
              </w:rPr>
              <w:t>Posture</w:t>
            </w:r>
          </w:p>
        </w:tc>
      </w:tr>
      <w:tr>
        <w:tc>
          <w:tcPr>
            <w:tcW w:type="dxa" w:w="1440"/>
          </w:tcPr>
          <w:p>
            <w:r>
              <w:rPr>
                <w:sz w:val="19"/>
              </w:rPr>
              <w:t>1 Home Market</w:t>
            </w:r>
          </w:p>
        </w:tc>
        <w:tc>
          <w:tcPr>
            <w:tcW w:type="dxa" w:w="1440"/>
          </w:tcPr>
          <w:p>
            <w:r>
              <w:rPr>
                <w:sz w:val="19"/>
              </w:rPr>
              <w:t>Low</w:t>
            </w:r>
          </w:p>
        </w:tc>
        <w:tc>
          <w:tcPr>
            <w:tcW w:type="dxa" w:w="1440"/>
          </w:tcPr>
          <w:p>
            <w:r>
              <w:rPr>
                <w:sz w:val="19"/>
              </w:rPr>
              <w:t>Weeks</w:t>
            </w:r>
          </w:p>
        </w:tc>
        <w:tc>
          <w:tcPr>
            <w:tcW w:type="dxa" w:w="1440"/>
          </w:tcPr>
          <w:p>
            <w:r>
              <w:rPr>
                <w:sz w:val="19"/>
              </w:rPr>
              <w:t>G1/G2; JSJK reply</w:t>
            </w:r>
          </w:p>
        </w:tc>
        <w:tc>
          <w:tcPr>
            <w:tcW w:type="dxa" w:w="1440"/>
          </w:tcPr>
          <w:p>
            <w:r>
              <w:rPr>
                <w:sz w:val="19"/>
              </w:rPr>
              <w:t>Reference engine</w:t>
            </w:r>
          </w:p>
        </w:tc>
        <w:tc>
          <w:tcPr>
            <w:tcW w:type="dxa" w:w="1440"/>
          </w:tcPr>
          <w:p>
            <w:r>
              <w:rPr>
                <w:b/>
                <w:sz w:val="19"/>
              </w:rPr>
              <w:t>PRIMARY</w:t>
            </w:r>
          </w:p>
        </w:tc>
      </w:tr>
      <w:tr>
        <w:tc>
          <w:tcPr>
            <w:tcW w:type="dxa" w:w="1440"/>
          </w:tcPr>
          <w:p>
            <w:r>
              <w:rPr>
                <w:sz w:val="19"/>
              </w:rPr>
              <w:t>2 Regulator-Listed</w:t>
            </w:r>
          </w:p>
        </w:tc>
        <w:tc>
          <w:tcPr>
            <w:tcW w:type="dxa" w:w="1440"/>
          </w:tcPr>
          <w:p>
            <w:r>
              <w:rPr>
                <w:sz w:val="19"/>
              </w:rPr>
              <w:t>High (travel/channel)</w:t>
            </w:r>
          </w:p>
        </w:tc>
        <w:tc>
          <w:tcPr>
            <w:tcW w:type="dxa" w:w="1440"/>
          </w:tcPr>
          <w:p>
            <w:r>
              <w:rPr>
                <w:sz w:val="19"/>
              </w:rPr>
              <w:t>1–2 quarters</w:t>
            </w:r>
          </w:p>
        </w:tc>
        <w:tc>
          <w:tcPr>
            <w:tcW w:type="dxa" w:w="1440"/>
          </w:tcPr>
          <w:p>
            <w:r>
              <w:rPr>
                <w:sz w:val="19"/>
              </w:rPr>
              <w:t>G2 + ACT-005 partner</w:t>
            </w:r>
          </w:p>
        </w:tc>
        <w:tc>
          <w:tcPr>
            <w:tcW w:type="dxa" w:w="1440"/>
          </w:tcPr>
          <w:p>
            <w:r>
              <w:rPr>
                <w:sz w:val="19"/>
              </w:rPr>
              <w:t>Revenue engine</w:t>
            </w:r>
          </w:p>
        </w:tc>
        <w:tc>
          <w:tcPr>
            <w:tcW w:type="dxa" w:w="1440"/>
          </w:tcPr>
          <w:p>
            <w:r>
              <w:rPr>
                <w:b/>
                <w:sz w:val="19"/>
              </w:rPr>
              <w:t>PRIMARY</w:t>
            </w:r>
          </w:p>
        </w:tc>
      </w:tr>
      <w:tr>
        <w:tc>
          <w:tcPr>
            <w:tcW w:type="dxa" w:w="1440"/>
          </w:tcPr>
          <w:p>
            <w:r>
              <w:rPr>
                <w:sz w:val="19"/>
              </w:rPr>
              <w:t>3 Sovereignty Prestige</w:t>
            </w:r>
          </w:p>
        </w:tc>
        <w:tc>
          <w:tcPr>
            <w:tcW w:type="dxa" w:w="1440"/>
          </w:tcPr>
          <w:p>
            <w:r>
              <w:rPr>
                <w:sz w:val="19"/>
              </w:rPr>
              <w:t>Medium</w:t>
            </w:r>
          </w:p>
        </w:tc>
        <w:tc>
          <w:tcPr>
            <w:tcW w:type="dxa" w:w="1440"/>
          </w:tcPr>
          <w:p>
            <w:r>
              <w:rPr>
                <w:sz w:val="19"/>
              </w:rPr>
              <w:t>Years</w:t>
            </w:r>
          </w:p>
        </w:tc>
        <w:tc>
          <w:tcPr>
            <w:tcW w:type="dxa" w:w="1440"/>
          </w:tcPr>
          <w:p>
            <w:r>
              <w:rPr>
                <w:sz w:val="19"/>
              </w:rPr>
              <w:t>ACT-006 warm path</w:t>
            </w:r>
          </w:p>
        </w:tc>
        <w:tc>
          <w:tcPr>
            <w:tcW w:type="dxa" w:w="1440"/>
          </w:tcPr>
          <w:p>
            <w:r>
              <w:rPr>
                <w:sz w:val="19"/>
              </w:rPr>
              <w:t>Trust shield</w:t>
            </w:r>
          </w:p>
        </w:tc>
        <w:tc>
          <w:tcPr>
            <w:tcW w:type="dxa" w:w="1440"/>
          </w:tcPr>
          <w:p>
            <w:r>
              <w:rPr>
                <w:sz w:val="19"/>
              </w:rPr>
              <w:t>Supporting, defer-able</w:t>
            </w:r>
          </w:p>
        </w:tc>
      </w:tr>
      <w:tr>
        <w:tc>
          <w:tcPr>
            <w:tcW w:type="dxa" w:w="1440"/>
          </w:tcPr>
          <w:p>
            <w:r>
              <w:rPr>
                <w:sz w:val="19"/>
              </w:rPr>
              <w:t>4 Channel</w:t>
            </w:r>
          </w:p>
        </w:tc>
        <w:tc>
          <w:tcPr>
            <w:tcW w:type="dxa" w:w="1440"/>
          </w:tcPr>
          <w:p>
            <w:r>
              <w:rPr>
                <w:sz w:val="19"/>
              </w:rPr>
              <w:t>Low cash</w:t>
            </w:r>
          </w:p>
        </w:tc>
        <w:tc>
          <w:tcPr>
            <w:tcW w:type="dxa" w:w="1440"/>
          </w:tcPr>
          <w:p>
            <w:r>
              <w:rPr>
                <w:sz w:val="19"/>
              </w:rPr>
              <w:t>1–2 quarters</w:t>
            </w:r>
          </w:p>
        </w:tc>
        <w:tc>
          <w:tcPr>
            <w:tcW w:type="dxa" w:w="1440"/>
          </w:tcPr>
          <w:p>
            <w:r>
              <w:rPr>
                <w:sz w:val="19"/>
              </w:rPr>
              <w:t>Enablement kit</w:t>
            </w:r>
          </w:p>
        </w:tc>
        <w:tc>
          <w:tcPr>
            <w:tcW w:type="dxa" w:w="1440"/>
          </w:tcPr>
          <w:p>
            <w:r>
              <w:rPr>
                <w:sz w:val="19"/>
              </w:rPr>
              <w:t>Long tail, no headcount</w:t>
            </w:r>
          </w:p>
        </w:tc>
        <w:tc>
          <w:tcPr>
            <w:tcW w:type="dxa" w:w="1440"/>
          </w:tcPr>
          <w:p>
            <w:r>
              <w:rPr>
                <w:sz w:val="19"/>
              </w:rPr>
              <w:t>Supporting from wk1</w:t>
            </w:r>
          </w:p>
        </w:tc>
      </w:tr>
      <w:tr>
        <w:tc>
          <w:tcPr>
            <w:tcW w:type="dxa" w:w="1440"/>
          </w:tcPr>
          <w:p>
            <w:r>
              <w:rPr>
                <w:sz w:val="19"/>
              </w:rPr>
              <w:t>5 Evidence-Led</w:t>
            </w:r>
          </w:p>
        </w:tc>
        <w:tc>
          <w:tcPr>
            <w:tcW w:type="dxa" w:w="1440"/>
          </w:tcPr>
          <w:p>
            <w:r>
              <w:rPr>
                <w:sz w:val="19"/>
              </w:rPr>
              <w:t>Very low</w:t>
            </w:r>
          </w:p>
        </w:tc>
        <w:tc>
          <w:tcPr>
            <w:tcW w:type="dxa" w:w="1440"/>
          </w:tcPr>
          <w:p>
            <w:r>
              <w:rPr>
                <w:sz w:val="19"/>
              </w:rPr>
              <w:t>Weeks</w:t>
            </w:r>
          </w:p>
        </w:tc>
        <w:tc>
          <w:tcPr>
            <w:tcW w:type="dxa" w:w="1440"/>
          </w:tcPr>
          <w:p>
            <w:r>
              <w:rPr>
                <w:sz w:val="19"/>
              </w:rPr>
              <w:t>AML hire (wk4+)</w:t>
            </w:r>
          </w:p>
        </w:tc>
        <w:tc>
          <w:tcPr>
            <w:tcW w:type="dxa" w:w="1440"/>
          </w:tcPr>
          <w:p>
            <w:r>
              <w:rPr>
                <w:sz w:val="19"/>
              </w:rPr>
              <w:t>Moat + pipeline</w:t>
            </w:r>
          </w:p>
        </w:tc>
        <w:tc>
          <w:tcPr>
            <w:tcW w:type="dxa" w:w="1440"/>
          </w:tcPr>
          <w:p>
            <w:r>
              <w:rPr>
                <w:sz w:val="19"/>
              </w:rPr>
              <w:t>Supporting from wk1</w:t>
            </w:r>
          </w:p>
        </w:tc>
      </w:tr>
      <w:tr>
        <w:tc>
          <w:tcPr>
            <w:tcW w:type="dxa" w:w="1440"/>
          </w:tcPr>
          <w:p>
            <w:r>
              <w:rPr>
                <w:sz w:val="19"/>
              </w:rPr>
              <w:t>6 Adjacent Bundle</w:t>
            </w:r>
          </w:p>
        </w:tc>
        <w:tc>
          <w:tcPr>
            <w:tcW w:type="dxa" w:w="1440"/>
          </w:tcPr>
          <w:p>
            <w:r>
              <w:rPr>
                <w:sz w:val="19"/>
              </w:rPr>
              <w:t>Product scope</w:t>
            </w:r>
          </w:p>
        </w:tc>
        <w:tc>
          <w:tcPr>
            <w:tcW w:type="dxa" w:w="1440"/>
          </w:tcPr>
          <w:p>
            <w:r>
              <w:rPr>
                <w:sz w:val="19"/>
              </w:rPr>
              <w:t>Quarters</w:t>
            </w:r>
          </w:p>
        </w:tc>
        <w:tc>
          <w:tcPr>
            <w:tcW w:type="dxa" w:w="1440"/>
          </w:tcPr>
          <w:p>
            <w:r>
              <w:rPr>
                <w:sz w:val="19"/>
              </w:rPr>
              <w:t>wk12 green</w:t>
            </w:r>
          </w:p>
        </w:tc>
        <w:tc>
          <w:tcPr>
            <w:tcW w:type="dxa" w:w="1440"/>
          </w:tcPr>
          <w:p>
            <w:r>
              <w:rPr>
                <w:sz w:val="19"/>
              </w:rPr>
              <w:t>Attach revenue</w:t>
            </w:r>
          </w:p>
        </w:tc>
        <w:tc>
          <w:tcPr>
            <w:tcW w:type="dxa" w:w="1440"/>
          </w:tcPr>
          <w:p>
            <w:r>
              <w:rPr>
                <w:sz w:val="19"/>
              </w:rPr>
              <w:t>Optionality</w:t>
            </w:r>
          </w:p>
        </w:tc>
      </w:tr>
    </w:tbl>
    <w:p/>
    <w:p>
      <w:r>
        <w:rPr>
          <w:b/>
        </w:rPr>
        <w:t>Portfolio logic [ASSESSMENT]:</w:t>
      </w:r>
      <w:r>
        <w:t xml:space="preserve"> Paths 1+2 are sequenced by the existing doctrine — home-market proof funds and legitimises the listed-regime campaign; 3+4+5 run underneath at low cash cost; 6 stays dark until the circuit breaker says the core works. Do not activate more than two primaries' worth of travel headcount until the pipeline-runner seat (ACT-002 hire) is filled.</w:t>
      </w:r>
    </w:p>
    <w:p>
      <w:pPr>
        <w:pStyle w:val="Heading3"/>
      </w:pPr>
      <w:r>
        <w:t>Decision log (append-only)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Decision</w:t>
            </w:r>
          </w:p>
        </w:tc>
        <w:tc>
          <w:tcPr>
            <w:tcW w:type="dxa" w:w="2160"/>
          </w:tcPr>
          <w:p>
            <w:r>
              <w:rPr>
                <w:b/>
              </w:rPr>
              <w:t>By</w:t>
            </w:r>
          </w:p>
        </w:tc>
        <w:tc>
          <w:tcPr>
            <w:tcW w:type="dxa" w:w="2160"/>
          </w:tcPr>
          <w:p>
            <w:r>
              <w:rPr>
                <w:b/>
              </w:rPr>
              <w:t>Outcome</w:t>
            </w:r>
          </w:p>
        </w:tc>
      </w:tr>
      <w:tr>
        <w:tc>
          <w:tcPr>
            <w:tcW w:type="dxa" w:w="2160"/>
          </w:tcPr>
          <w:p>
            <w:r>
              <w:rPr>
                <w:sz w:val="19"/>
              </w:rPr>
              <w:t>2026-10-08</w:t>
            </w:r>
          </w:p>
        </w:tc>
        <w:tc>
          <w:tcPr>
            <w:tcW w:type="dxa" w:w="2160"/>
          </w:tcPr>
          <w:p>
            <w:r>
              <w:rPr>
                <w:sz w:val="19"/>
              </w:rPr>
              <w:t>Suite authored; paths proposed, none yet ratified</w:t>
            </w:r>
          </w:p>
        </w:tc>
        <w:tc>
          <w:tcPr>
            <w:tcW w:type="dxa" w:w="2160"/>
          </w:tcPr>
          <w:p>
            <w:r>
              <w:rPr>
                <w:sz w:val="19"/>
              </w:rPr>
              <w:t>Vesper (proposal)</w:t>
            </w:r>
          </w:p>
        </w:tc>
        <w:tc>
          <w:tcPr>
            <w:tcW w:type="dxa" w:w="2160"/>
          </w:tcPr>
          <w:p>
            <w:r>
              <w:rPr>
                <w:sz w:val="19"/>
              </w:rPr>
              <w:t>Awaiting Hadri ratification (03 §3 D-02)</w:t>
            </w:r>
          </w:p>
        </w:tc>
      </w:tr>
    </w:tbl>
    <w:p/>
    <w:p>
      <w:r>
        <w:br w:type="page"/>
      </w:r>
    </w:p>
    <w:p>
      <w:pPr>
        <w:pStyle w:val="Heading1"/>
      </w:pPr>
      <w:r>
        <w:t>02 — Master Activation Plan</w:t>
      </w:r>
    </w:p>
    <w:p>
      <w:r>
        <w:rPr>
          <w:b/>
        </w:rPr>
        <w:t>Status:</w:t>
      </w:r>
      <w:r>
        <w:t xml:space="preserve"> Canonical v1 (2026-10-08) · Program week 1 = w/c 2026-10-06 (per STRATEGY.md v2 "90-day plan from 2026-10-06") · All gates inherit STRATEGY §9 kill/continue metrics — this file adds who/what/when, never relaxes the bar.</w:t>
      </w:r>
    </w:p>
    <w:p>
      <w:pPr>
        <w:pStyle w:val="Heading2"/>
      </w:pPr>
      <w:r>
        <w:t>1. Phase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Weeks</w:t>
            </w:r>
          </w:p>
        </w:tc>
        <w:tc>
          <w:tcPr>
            <w:tcW w:type="dxa" w:w="1728"/>
          </w:tcPr>
          <w:p>
            <w:r>
              <w:rPr>
                <w:b/>
              </w:rPr>
              <w:t>Calendar</w:t>
            </w:r>
          </w:p>
        </w:tc>
        <w:tc>
          <w:tcPr>
            <w:tcW w:type="dxa" w:w="1728"/>
          </w:tcPr>
          <w:p>
            <w:r>
              <w:rPr>
                <w:b/>
              </w:rPr>
              <w:t>Job to be done</w:t>
            </w:r>
          </w:p>
        </w:tc>
        <w:tc>
          <w:tcPr>
            <w:tcW w:type="dxa" w:w="1728"/>
          </w:tcPr>
          <w:p>
            <w:r>
              <w:rPr>
                <w:b/>
              </w:rPr>
              <w:t>Exit condition</w:t>
            </w:r>
          </w:p>
        </w:tc>
      </w:tr>
      <w:tr>
        <w:tc>
          <w:tcPr>
            <w:tcW w:type="dxa" w:w="1728"/>
          </w:tcPr>
          <w:p>
            <w:r>
              <w:rPr>
                <w:b/>
                <w:sz w:val="19"/>
              </w:rPr>
              <w:t>P0 Foundation</w:t>
            </w:r>
          </w:p>
        </w:tc>
        <w:tc>
          <w:tcPr>
            <w:tcW w:type="dxa" w:w="1728"/>
          </w:tcPr>
          <w:p>
            <w:r>
              <w:rPr>
                <w:sz w:val="19"/>
              </w:rPr>
              <w:t>wk1–4</w:t>
            </w:r>
          </w:p>
        </w:tc>
        <w:tc>
          <w:tcPr>
            <w:tcW w:type="dxa" w:w="1728"/>
          </w:tcPr>
          <w:p>
            <w:r>
              <w:rPr>
                <w:sz w:val="19"/>
              </w:rPr>
              <w:t>6 Oct – 1 Nov</w:t>
            </w:r>
          </w:p>
        </w:tc>
        <w:tc>
          <w:tcPr>
            <w:tcW w:type="dxa" w:w="1728"/>
          </w:tcPr>
          <w:p>
            <w:r>
              <w:rPr>
                <w:sz w:val="19"/>
              </w:rPr>
              <w:t>Make the product demo-able, the paperwork lawful, the seats filled; convert live inbound (JSJK) into a pilot offer</w:t>
            </w:r>
          </w:p>
        </w:tc>
        <w:tc>
          <w:tcPr>
            <w:tcW w:type="dxa" w:w="1728"/>
          </w:tcPr>
          <w:p>
            <w:r>
              <w:rPr>
                <w:sz w:val="19"/>
              </w:rPr>
              <w:t xml:space="preserve">G1+G2 green; ≥15 seed conversations held; ≥2 signed design-partner MOUs w/ data-rights clause </w:t>
            </w:r>
            <w:r>
              <w:rPr>
                <w:i/>
                <w:sz w:val="19"/>
              </w:rPr>
              <w:t>(circuit-breaker gate wk4: if G1/G2 red → outreach FREEZES, product sprint only)</w:t>
            </w:r>
          </w:p>
        </w:tc>
      </w:tr>
      <w:tr>
        <w:tc>
          <w:tcPr>
            <w:tcW w:type="dxa" w:w="1728"/>
          </w:tcPr>
          <w:p>
            <w:r>
              <w:rPr>
                <w:b/>
                <w:sz w:val="19"/>
              </w:rPr>
              <w:t>P1 Ignition</w:t>
            </w:r>
          </w:p>
        </w:tc>
        <w:tc>
          <w:tcPr>
            <w:tcW w:type="dxa" w:w="1728"/>
          </w:tcPr>
          <w:p>
            <w:r>
              <w:rPr>
                <w:sz w:val="19"/>
              </w:rPr>
              <w:t>wk5–12</w:t>
            </w:r>
          </w:p>
        </w:tc>
        <w:tc>
          <w:tcPr>
            <w:tcW w:type="dxa" w:w="1728"/>
          </w:tcPr>
          <w:p>
            <w:r>
              <w:rPr>
                <w:sz w:val="19"/>
              </w:rPr>
              <w:t>2 Nov – 27 Dec</w:t>
            </w:r>
          </w:p>
        </w:tc>
        <w:tc>
          <w:tcPr>
            <w:tcW w:type="dxa" w:w="1728"/>
          </w:tcPr>
          <w:p>
            <w:r>
              <w:rPr>
                <w:sz w:val="19"/>
              </w:rPr>
              <w:t>Run first pilots; publish first corridor evidence; regulator-listing applications in; first customer-named report</w:t>
            </w:r>
          </w:p>
        </w:tc>
        <w:tc>
          <w:tcPr>
            <w:tcW w:type="dxa" w:w="1728"/>
          </w:tcPr>
          <w:p>
            <w:r>
              <w:rPr>
                <w:sz w:val="19"/>
              </w:rPr>
              <w:t xml:space="preserve">≥8 active pilots; ≥1 MY or AE reference; corpus v0 corridor gate; VARA/SCA applications submitted </w:t>
            </w:r>
            <w:r>
              <w:rPr>
                <w:i/>
                <w:sz w:val="19"/>
              </w:rPr>
              <w:t>(gate wk12 per STRATEGY §9)</w:t>
            </w:r>
          </w:p>
        </w:tc>
      </w:tr>
      <w:tr>
        <w:tc>
          <w:tcPr>
            <w:tcW w:type="dxa" w:w="1728"/>
          </w:tcPr>
          <w:p>
            <w:r>
              <w:rPr>
                <w:b/>
                <w:sz w:val="19"/>
              </w:rPr>
              <w:t>P2 Scale</w:t>
            </w:r>
          </w:p>
        </w:tc>
        <w:tc>
          <w:tcPr>
            <w:tcW w:type="dxa" w:w="1728"/>
          </w:tcPr>
          <w:p>
            <w:r>
              <w:rPr>
                <w:sz w:val="19"/>
              </w:rPr>
              <w:t>wk13–26</w:t>
            </w:r>
          </w:p>
        </w:tc>
        <w:tc>
          <w:tcPr>
            <w:tcW w:type="dxa" w:w="1728"/>
          </w:tcPr>
          <w:p>
            <w:r>
              <w:rPr>
                <w:sz w:val="19"/>
              </w:rPr>
              <w:t>Dec 28 – Mar</w:t>
            </w:r>
          </w:p>
        </w:tc>
        <w:tc>
          <w:tcPr>
            <w:tcW w:type="dxa" w:w="1728"/>
          </w:tcPr>
          <w:p>
            <w:r>
              <w:rPr>
                <w:sz w:val="19"/>
              </w:rPr>
              <w:t>Convert references to licences; open the licensee cohorts (VN/Egypt windows); channel carries long tail</w:t>
            </w:r>
          </w:p>
        </w:tc>
        <w:tc>
          <w:tcPr>
            <w:tcW w:type="dxa" w:w="1728"/>
          </w:tcPr>
          <w:p>
            <w:r>
              <w:rPr>
                <w:sz w:val="19"/>
              </w:rPr>
              <w:t>≥3 paying/conversion-committed; 1 regulator-listed status in progress; renewal-shaped paper for wk26 board review</w:t>
            </w:r>
          </w:p>
        </w:tc>
      </w:tr>
    </w:tbl>
    <w:p/>
    <w:p>
      <w:pPr>
        <w:pStyle w:val="Heading2"/>
      </w:pPr>
      <w:r>
        <w:t>2. Week-level calendar (P0/P1 detail)</w:t>
      </w:r>
    </w:p>
    <w:p>
      <w:pPr>
        <w:pStyle w:val="Heading3"/>
      </w:pPr>
      <w:r>
        <w:t>P0 Foundation — wk1–4 (6 Oct – 1 Nov)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Week</w:t>
            </w:r>
          </w:p>
        </w:tc>
        <w:tc>
          <w:tcPr>
            <w:tcW w:type="dxa" w:w="1728"/>
          </w:tcPr>
          <w:p>
            <w:r>
              <w:rPr>
                <w:b/>
              </w:rPr>
              <w:t>Product (gates)</w:t>
            </w:r>
          </w:p>
        </w:tc>
        <w:tc>
          <w:tcPr>
            <w:tcW w:type="dxa" w:w="1728"/>
          </w:tcPr>
          <w:p>
            <w:r>
              <w:rPr>
                <w:b/>
              </w:rPr>
              <w:t>Commercial / doors</w:t>
            </w:r>
          </w:p>
        </w:tc>
        <w:tc>
          <w:tcPr>
            <w:tcW w:type="dxa" w:w="1728"/>
          </w:tcPr>
          <w:p>
            <w:r>
              <w:rPr>
                <w:b/>
              </w:rPr>
              <w:t>Compliance &amp; paperwork</w:t>
            </w:r>
          </w:p>
        </w:tc>
        <w:tc>
          <w:tcPr>
            <w:tcW w:type="dxa" w:w="1728"/>
          </w:tcPr>
          <w:p>
            <w:r>
              <w:rPr>
                <w:b/>
              </w:rPr>
              <w:t>People &amp; register</w:t>
            </w:r>
          </w:p>
        </w:tc>
      </w:tr>
      <w:tr>
        <w:tc>
          <w:tcPr>
            <w:tcW w:type="dxa" w:w="1728"/>
          </w:tcPr>
          <w:p>
            <w:r>
              <w:rPr>
                <w:b/>
                <w:sz w:val="19"/>
              </w:rPr>
              <w:t>wk1</w:t>
            </w:r>
            <w:r>
              <w:rPr>
                <w:sz w:val="19"/>
              </w:rPr>
              <w:t xml:space="preserve"> 6–10 Oct</w:t>
            </w:r>
          </w:p>
        </w:tc>
        <w:tc>
          <w:tcPr>
            <w:tcW w:type="dxa" w:w="1728"/>
          </w:tcPr>
          <w:p>
            <w:r>
              <w:rPr>
                <w:sz w:val="19"/>
              </w:rPr>
              <w:t xml:space="preserve">G2 import-path sprint starts (ACT-20261006-003, </w:t>
            </w:r>
            <w:r>
              <w:rPr>
                <w:b/>
                <w:sz w:val="19"/>
              </w:rPr>
              <w:t>due 13 Oct: sprint freeze of G1–G6</w:t>
            </w:r>
            <w:r>
              <w:rPr>
                <w:sz w:val="19"/>
              </w:rPr>
              <w:t>)</w:t>
            </w:r>
          </w:p>
        </w:tc>
        <w:tc>
          <w:tcPr>
            <w:tcW w:type="dxa" w:w="1728"/>
          </w:tcPr>
          <w:p>
            <w:r>
              <w:rPr>
                <w:b/>
                <w:sz w:val="19"/>
              </w:rPr>
              <w:t>JSJK reply out (ACT-20261008-001, due 10 Oct, esc 12 Oct)</w:t>
            </w:r>
            <w:r>
              <w:rPr>
                <w:sz w:val="19"/>
              </w:rPr>
              <w:t xml:space="preserve"> — rank discrepancy resolved first; CAAM workshop track (meet 15 Oct)</w:t>
            </w:r>
          </w:p>
        </w:tc>
        <w:tc>
          <w:tcPr>
            <w:tcW w:type="dxa" w:w="1728"/>
          </w:tcPr>
          <w:p>
            <w:r>
              <w:rPr>
                <w:sz w:val="19"/>
              </w:rPr>
              <w:t>Pilot-terms skeleton drafted (ACT-20261006-008)</w:t>
            </w:r>
          </w:p>
        </w:tc>
        <w:tc>
          <w:tcPr>
            <w:tcW w:type="dxa" w:w="1728"/>
          </w:tcPr>
          <w:p>
            <w:r>
              <w:rPr>
                <w:sz w:val="19"/>
              </w:rPr>
              <w:t>AML/CFT JD posted (ACT-20261008-002, due 22 Oct); pipeline-runner spec written (see §5)</w:t>
            </w:r>
          </w:p>
        </w:tc>
      </w:tr>
      <w:tr>
        <w:tc>
          <w:tcPr>
            <w:tcW w:type="dxa" w:w="1728"/>
          </w:tcPr>
          <w:p>
            <w:r>
              <w:rPr>
                <w:b/>
                <w:sz w:val="19"/>
              </w:rPr>
              <w:t>wk2</w:t>
            </w:r>
            <w:r>
              <w:rPr>
                <w:sz w:val="19"/>
              </w:rPr>
              <w:t xml:space="preserve"> 13–17 Oct</w:t>
            </w:r>
          </w:p>
        </w:tc>
        <w:tc>
          <w:tcPr>
            <w:tcW w:type="dxa" w:w="1728"/>
          </w:tcPr>
          <w:p>
            <w:r>
              <w:rPr>
                <w:sz w:val="19"/>
              </w:rPr>
              <w:t>G2 CSV/Reactor import working on MY DAX sample data</w:t>
            </w:r>
          </w:p>
        </w:tc>
        <w:tc>
          <w:tcPr>
            <w:tcW w:type="dxa" w:w="1728"/>
          </w:tcPr>
          <w:p>
            <w:r>
              <w:rPr>
                <w:sz w:val="19"/>
              </w:rPr>
              <w:t>MY T1 doors: MAPO briefing dates proposed; SC oversight-desk meeting requested (ACT-004 due 17 Oct); Zetrix open loop closed one way or other (ACT-007 due 17 Oct)</w:t>
            </w:r>
          </w:p>
        </w:tc>
        <w:tc>
          <w:tcPr>
            <w:tcW w:type="dxa" w:w="1728"/>
          </w:tcPr>
          <w:p>
            <w:r>
              <w:rPr>
                <w:sz w:val="19"/>
              </w:rPr>
              <w:t>Data-rights annex v1 DONE by 20 Oct — ACT-008 due date (hire-independent draft; refine on hire)</w:t>
            </w:r>
          </w:p>
        </w:tc>
        <w:tc>
          <w:tcPr>
            <w:tcW w:type="dxa" w:w="1728"/>
          </w:tcPr>
          <w:p>
            <w:r>
              <w:rPr>
                <w:sz w:val="19"/>
              </w:rPr>
              <w:t>Runner candidate longlist; UAE channel candidates shortlisted toward ACT-005 (due 24 Oct)</w:t>
            </w:r>
          </w:p>
        </w:tc>
      </w:tr>
      <w:tr>
        <w:tc>
          <w:tcPr>
            <w:tcW w:type="dxa" w:w="1728"/>
          </w:tcPr>
          <w:p>
            <w:r>
              <w:rPr>
                <w:b/>
                <w:sz w:val="19"/>
              </w:rPr>
              <w:t>wk3</w:t>
            </w:r>
            <w:r>
              <w:rPr>
                <w:sz w:val="19"/>
              </w:rPr>
              <w:t xml:space="preserve"> 20–24 Oct</w:t>
            </w:r>
          </w:p>
        </w:tc>
        <w:tc>
          <w:tcPr>
            <w:tcW w:type="dxa" w:w="1728"/>
          </w:tcPr>
          <w:p>
            <w:r>
              <w:rPr>
                <w:sz w:val="19"/>
              </w:rPr>
              <w:t>G2 demo recorded (screen-captured, reusable for briefings per §7 protocol); G1 air-gap update path hardened</w:t>
            </w:r>
          </w:p>
        </w:tc>
        <w:tc>
          <w:tcPr>
            <w:tcW w:type="dxa" w:w="1728"/>
          </w:tcPr>
          <w:p>
            <w:r>
              <w:rPr>
                <w:sz w:val="19"/>
              </w:rPr>
              <w:t>Seed outreach wave 1: MY-06/07/08 flow-scanner-audit offers out; NACSA distribution conversation</w:t>
            </w:r>
          </w:p>
        </w:tc>
        <w:tc>
          <w:tcPr>
            <w:tcW w:type="dxa" w:w="1728"/>
          </w:tcPr>
          <w:p>
            <w:r>
              <w:rPr>
                <w:sz w:val="19"/>
              </w:rPr>
              <w:t>Pilot-terms package signed off (ACT-008 closed 20 Oct); UAE channel partner identified/engaged (ACT-005 closes 24 Oct); consultancy/Big-4 NDA + referral terms (Path 4 rail for Path 2 doors)</w:t>
            </w:r>
          </w:p>
        </w:tc>
        <w:tc>
          <w:tcPr>
            <w:tcW w:type="dxa" w:w="1728"/>
          </w:tcPr>
          <w:p>
            <w:r>
              <w:rPr>
                <w:sz w:val="19"/>
              </w:rPr>
              <w:t>AML hire interviews; runner decision</w:t>
            </w:r>
          </w:p>
        </w:tc>
      </w:tr>
      <w:tr>
        <w:tc>
          <w:tcPr>
            <w:tcW w:type="dxa" w:w="1728"/>
          </w:tcPr>
          <w:p>
            <w:r>
              <w:rPr>
                <w:b/>
                <w:sz w:val="19"/>
              </w:rPr>
              <w:t>wk4</w:t>
            </w:r>
            <w:r>
              <w:rPr>
                <w:sz w:val="19"/>
              </w:rPr>
              <w:t xml:space="preserve"> 27–31 Oct</w:t>
            </w:r>
          </w:p>
        </w:tc>
        <w:tc>
          <w:tcPr>
            <w:tcW w:type="dxa" w:w="1728"/>
          </w:tcPr>
          <w:p>
            <w:r>
              <w:rPr>
                <w:b/>
                <w:sz w:val="19"/>
              </w:rPr>
              <w:t>G1+G2 gate review (fri 30 Oct)</w:t>
            </w:r>
            <w:r>
              <w:rPr>
                <w:sz w:val="19"/>
              </w:rPr>
              <w:t xml:space="preserve"> — pass → outreach proceeds; fail → freeze per STRATEGY §9</w:t>
            </w:r>
          </w:p>
        </w:tc>
        <w:tc>
          <w:tcPr>
            <w:tcW w:type="dxa" w:w="1728"/>
          </w:tcPr>
          <w:p>
            <w:r>
              <w:rPr>
                <w:sz w:val="19"/>
              </w:rPr>
              <w:t>≥5 seed meetings held (gate counts); first MOU papers with MAPO-track and one DAX</w:t>
            </w:r>
          </w:p>
        </w:tc>
        <w:tc>
          <w:tcPr>
            <w:tcW w:type="dxa" w:w="1728"/>
          </w:tcPr>
          <w:p>
            <w:r>
              <w:rPr>
                <w:b/>
                <w:sz w:val="19"/>
              </w:rPr>
              <w:t>ACT-006 CH checkpoint (due 31 Oct): warm Fedpol-adjacent path yes/no — no → formally defer CH to 2027, minute it, return resources to Paths 1–2</w:t>
            </w:r>
          </w:p>
        </w:tc>
        <w:tc>
          <w:tcPr>
            <w:tcW w:type="dxa" w:w="1728"/>
          </w:tcPr>
          <w:p>
            <w:r>
              <w:rPr>
                <w:sz w:val="19"/>
              </w:rPr>
              <w:t>AML hire offer out; corpus seed-data purchase decision deferred to wk8 per D-05 default [EST, STRATEGY §8]</w:t>
            </w:r>
          </w:p>
        </w:tc>
      </w:tr>
    </w:tbl>
    <w:p/>
    <w:p>
      <w:pPr>
        <w:pStyle w:val="Heading3"/>
      </w:pPr>
      <w:r>
        <w:t>P1 Ignition — wk5–12 (2 Nov – 27 Dec)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Week(s)</w:t>
            </w:r>
          </w:p>
        </w:tc>
        <w:tc>
          <w:tcPr>
            <w:tcW w:type="dxa" w:w="2880"/>
          </w:tcPr>
          <w:p>
            <w:r>
              <w:rPr>
                <w:b/>
              </w:rPr>
              <w:t>Focus</w:t>
            </w:r>
          </w:p>
        </w:tc>
        <w:tc>
          <w:tcPr>
            <w:tcW w:type="dxa" w:w="2880"/>
          </w:tcPr>
          <w:p>
            <w:r>
              <w:rPr>
                <w:b/>
              </w:rPr>
              <w:t>Named deliverables</w:t>
            </w:r>
          </w:p>
        </w:tc>
      </w:tr>
      <w:tr>
        <w:tc>
          <w:tcPr>
            <w:tcW w:type="dxa" w:w="2880"/>
          </w:tcPr>
          <w:p>
            <w:r>
              <w:rPr>
                <w:sz w:val="19"/>
              </w:rPr>
              <w:t>wk5–6</w:t>
            </w:r>
          </w:p>
        </w:tc>
        <w:tc>
          <w:tcPr>
            <w:tcW w:type="dxa" w:w="2880"/>
          </w:tcPr>
          <w:p>
            <w:r>
              <w:rPr>
                <w:sz w:val="19"/>
              </w:rPr>
              <w:t>First pilots live (MY LE casework + 1 DAX 60-day monitor); UAE listing applications assembled via channel partner</w:t>
            </w:r>
          </w:p>
        </w:tc>
        <w:tc>
          <w:tcPr>
            <w:tcW w:type="dxa" w:w="2880"/>
          </w:tcPr>
          <w:p>
            <w:r>
              <w:rPr>
                <w:sz w:val="19"/>
              </w:rPr>
              <w:t>Pilot-1 kickoff pack; VARA/SCA approved-tooling applications drafted; corridor-report #1 production starts (Gulf outflows, public data)</w:t>
            </w:r>
          </w:p>
        </w:tc>
      </w:tr>
      <w:tr>
        <w:tc>
          <w:tcPr>
            <w:tcW w:type="dxa" w:w="2880"/>
          </w:tcPr>
          <w:p>
            <w:r>
              <w:rPr>
                <w:sz w:val="19"/>
              </w:rPr>
              <w:t>wk7</w:t>
            </w:r>
          </w:p>
        </w:tc>
        <w:tc>
          <w:tcPr>
            <w:tcW w:type="dxa" w:w="2880"/>
          </w:tcPr>
          <w:p>
            <w:r>
              <w:rPr>
                <w:sz w:val="19"/>
              </w:rPr>
              <w:t>VN + Egypt windows: day-one-AML bundle one-pager; pilot-licensee cohort list pinned from public announcements (EG-02, VN cohort)</w:t>
            </w:r>
          </w:p>
        </w:tc>
        <w:tc>
          <w:tcPr>
            <w:tcW w:type="dxa" w:w="2880"/>
          </w:tcPr>
          <w:p>
            <w:r>
              <w:rPr>
                <w:sz w:val="19"/>
              </w:rPr>
              <w:t>Bundle pack; cohort list v1 in roster CSV as new rows (propose, then MERGE)</w:t>
            </w:r>
          </w:p>
        </w:tc>
      </w:tr>
      <w:tr>
        <w:tc>
          <w:tcPr>
            <w:tcW w:type="dxa" w:w="2880"/>
          </w:tcPr>
          <w:p>
            <w:r>
              <w:rPr>
                <w:sz w:val="19"/>
              </w:rPr>
              <w:t>wk8</w:t>
            </w:r>
          </w:p>
        </w:tc>
        <w:tc>
          <w:tcPr>
            <w:tcW w:type="dxa" w:w="2880"/>
          </w:tcPr>
          <w:p>
            <w:r>
              <w:rPr>
                <w:b/>
                <w:sz w:val="19"/>
              </w:rPr>
              <w:t>Gate review (fri 27 Nov): ≥5 meetings held ✔/✘ + ≥2 signed MOUs ✔/✘</w:t>
            </w:r>
            <w:r>
              <w:rPr>
                <w:sz w:val="19"/>
              </w:rPr>
              <w:t xml:space="preserve"> — fail = doors thesis wrong, re-tier roster before more spend</w:t>
            </w:r>
          </w:p>
        </w:tc>
        <w:tc>
          <w:tcPr>
            <w:tcW w:type="dxa" w:w="2880"/>
          </w:tcPr>
          <w:p>
            <w:r>
              <w:rPr>
                <w:sz w:val="19"/>
              </w:rPr>
              <w:t>Gate minuted; re-tier proposal if red</w:t>
            </w:r>
          </w:p>
        </w:tc>
      </w:tr>
      <w:tr>
        <w:tc>
          <w:tcPr>
            <w:tcW w:type="dxa" w:w="2880"/>
          </w:tcPr>
          <w:p>
            <w:r>
              <w:rPr>
                <w:sz w:val="19"/>
              </w:rPr>
              <w:t>wk9–10</w:t>
            </w:r>
          </w:p>
        </w:tc>
        <w:tc>
          <w:tcPr>
            <w:tcW w:type="dxa" w:w="2880"/>
          </w:tcPr>
          <w:p>
            <w:r>
              <w:rPr>
                <w:sz w:val="19"/>
              </w:rPr>
              <w:t>Pilot #3–5 (target mix: 1 gov, 2 VASP); Turkey door-opening (SPK/MASAK intro via consultancy; Paribu/CoinMENA one-door play briefed); report generator G4 first MY-flavour output</w:t>
            </w:r>
          </w:p>
        </w:tc>
        <w:tc>
          <w:tcPr>
            <w:tcW w:type="dxa" w:w="2880"/>
          </w:tcPr>
          <w:p>
            <w:r>
              <w:rPr>
                <w:sz w:val="19"/>
              </w:rPr>
              <w:t>Court-grade report template v1 accepted internally; TR outreach plan</w:t>
            </w:r>
          </w:p>
        </w:tc>
      </w:tr>
      <w:tr>
        <w:tc>
          <w:tcPr>
            <w:tcW w:type="dxa" w:w="2880"/>
          </w:tcPr>
          <w:p>
            <w:r>
              <w:rPr>
                <w:sz w:val="19"/>
              </w:rPr>
              <w:t>wk11</w:t>
            </w:r>
          </w:p>
        </w:tc>
        <w:tc>
          <w:tcPr>
            <w:tcW w:type="dxa" w:w="2880"/>
          </w:tcPr>
          <w:p>
            <w:r>
              <w:rPr>
                <w:sz w:val="19"/>
              </w:rPr>
              <w:t>First corridor report published → addressed to full MEA roster (Path 5 inbound test starts); if ACT-006 checkpoint (wk4) was YES: methodology paper submitted to one Swiss-adjacent venue; if NO: CH work stays deferred, none of this ships</w:t>
            </w:r>
          </w:p>
        </w:tc>
        <w:tc>
          <w:tcPr>
            <w:tcW w:type="dxa" w:w="2880"/>
          </w:tcPr>
          <w:p>
            <w:r>
              <w:rPr>
                <w:sz w:val="19"/>
              </w:rPr>
              <w:t>Corridor report live; CH posture per wk4 minute</w:t>
            </w:r>
          </w:p>
        </w:tc>
      </w:tr>
      <w:tr>
        <w:tc>
          <w:tcPr>
            <w:tcW w:type="dxa" w:w="2880"/>
          </w:tcPr>
          <w:p>
            <w:r>
              <w:rPr>
                <w:sz w:val="19"/>
              </w:rPr>
              <w:t>wk12</w:t>
            </w:r>
          </w:p>
        </w:tc>
        <w:tc>
          <w:tcPr>
            <w:tcW w:type="dxa" w:w="2880"/>
          </w:tcPr>
          <w:p>
            <w:r>
              <w:rPr>
                <w:b/>
                <w:sz w:val="19"/>
              </w:rPr>
              <w:t>Circuit breaker (wk12 per STRATEGY §9):</w:t>
            </w:r>
            <w:r>
              <w:rPr>
                <w:sz w:val="19"/>
              </w:rPr>
              <w:t xml:space="preserve"> ≥1 pilot case report the </w:t>
            </w:r>
            <w:r>
              <w:rPr>
                <w:i/>
                <w:sz w:val="19"/>
              </w:rPr>
              <w:t>customer</w:t>
            </w:r>
            <w:r>
              <w:rPr>
                <w:sz w:val="19"/>
              </w:rPr>
              <w:t xml:space="preserve"> names + corpus v0 gate → continue; fail → ChainSentry → maintenance, Aras refocuses. Also: first channel-sourced meeting expected (Path 4 test); Path-6 pull-check with pilot partners (E-KYC / RWA interest logged)</w:t>
            </w:r>
          </w:p>
        </w:tc>
        <w:tc>
          <w:tcPr>
            <w:tcW w:type="dxa" w:w="2880"/>
          </w:tcPr>
          <w:p>
            <w:r>
              <w:rPr>
                <w:sz w:val="19"/>
              </w:rPr>
              <w:t>Board-deck parity paragraph + wk12 verdict; 2027 H1 plan draft</w:t>
            </w:r>
          </w:p>
        </w:tc>
      </w:tr>
    </w:tbl>
    <w:p/>
    <w:p>
      <w:pPr>
        <w:pStyle w:val="Heading3"/>
      </w:pPr>
      <w:r>
        <w:t>P2 Scale — wk13–26 (condensed)</w:t>
      </w:r>
    </w:p>
    <w:p>
      <w:r>
        <w:t>Convert (MY casework pilot → PDRM-wide licence paper + direct-procurement justification); expand (UAE licensee cohort on listing progress; VN bundle synced to licence issuance; Egypt first-cohort window — time-limited, move at regime pace); channel (Big-4 MY + one ME signed with enablement kit); Switzerland converts only if ACT-006 path materialised; P2 exit = wk26 board decision: fund 2027 as product company or execute maintenance hand-back. No new market opens in P2 without a reference already live in it [ASSESSMENT — discipline rule].</w:t>
      </w:r>
    </w:p>
    <w:p>
      <w:pPr>
        <w:pStyle w:val="Heading2"/>
      </w:pPr>
      <w:r>
        <w:t>3. Wave sequencing (roster → waves; no wave opens against an unmet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Wave</w:t>
            </w:r>
          </w:p>
        </w:tc>
        <w:tc>
          <w:tcPr>
            <w:tcW w:type="dxa" w:w="2160"/>
          </w:tcPr>
          <w:p>
            <w:r>
              <w:rPr>
                <w:b/>
              </w:rPr>
              <w:t>Targets</w:t>
            </w:r>
          </w:p>
        </w:tc>
        <w:tc>
          <w:tcPr>
            <w:tcW w:type="dxa" w:w="2160"/>
          </w:tcPr>
          <w:p>
            <w:r>
              <w:rPr>
                <w:b/>
              </w:rPr>
              <w:t>Opens</w:t>
            </w:r>
          </w:p>
        </w:tc>
        <w:tc>
          <w:tcPr>
            <w:tcW w:type="dxa" w:w="2160"/>
          </w:tcPr>
          <w:p>
            <w:r>
              <w:rPr>
                <w:b/>
              </w:rPr>
              <w:t>Requires</w:t>
            </w:r>
          </w:p>
        </w:tc>
      </w:tr>
      <w:tr>
        <w:tc>
          <w:tcPr>
            <w:tcW w:type="dxa" w:w="2160"/>
          </w:tcPr>
          <w:p>
            <w:r>
              <w:rPr>
                <w:sz w:val="19"/>
              </w:rPr>
              <w:t>W-0 (inbound, now)</w:t>
            </w:r>
          </w:p>
        </w:tc>
        <w:tc>
          <w:tcPr>
            <w:tcW w:type="dxa" w:w="2160"/>
          </w:tcPr>
          <w:p>
            <w:r>
              <w:rPr>
                <w:sz w:val="19"/>
              </w:rPr>
              <w:t>JSJK/PDRM, CAAM halo</w:t>
            </w:r>
          </w:p>
        </w:tc>
        <w:tc>
          <w:tcPr>
            <w:tcW w:type="dxa" w:w="2160"/>
          </w:tcPr>
          <w:p>
            <w:r>
              <w:rPr>
                <w:sz w:val="19"/>
              </w:rPr>
              <w:t>open</w:t>
            </w:r>
          </w:p>
        </w:tc>
        <w:tc>
          <w:tcPr>
            <w:tcW w:type="dxa" w:w="2160"/>
          </w:tcPr>
          <w:p>
            <w:r>
              <w:rPr>
                <w:sz w:val="19"/>
              </w:rPr>
              <w:t>§7 protocol only</w:t>
            </w:r>
          </w:p>
        </w:tc>
      </w:tr>
      <w:tr>
        <w:tc>
          <w:tcPr>
            <w:tcW w:type="dxa" w:w="2160"/>
          </w:tcPr>
          <w:p>
            <w:r>
              <w:rPr>
                <w:sz w:val="19"/>
              </w:rPr>
              <w:t>W-1 MY T1 + seed-15 MY/VN/TH/AE/CH warm set (strategy §alpha list)</w:t>
            </w:r>
          </w:p>
        </w:tc>
        <w:tc>
          <w:tcPr>
            <w:tcW w:type="dxa" w:w="2160"/>
          </w:tcPr>
          <w:p>
            <w:r>
              <w:rPr>
                <w:sz w:val="19"/>
              </w:rPr>
              <w:t>MY-01..04, MY-06..08, VN-01/02, TH-01/02, AE-01/03/04, CH-01/03</w:t>
            </w:r>
          </w:p>
        </w:tc>
        <w:tc>
          <w:tcPr>
            <w:tcW w:type="dxa" w:w="2160"/>
          </w:tcPr>
          <w:p>
            <w:r>
              <w:rPr>
                <w:sz w:val="19"/>
              </w:rPr>
              <w:t>wk3 after G2 demo</w:t>
            </w:r>
          </w:p>
        </w:tc>
        <w:tc>
          <w:tcPr>
            <w:tcW w:type="dxa" w:w="2160"/>
          </w:tcPr>
          <w:p>
            <w:r>
              <w:rPr>
                <w:sz w:val="19"/>
              </w:rPr>
              <w:t>G2 + pilot terms + runner</w:t>
            </w:r>
          </w:p>
        </w:tc>
      </w:tr>
      <w:tr>
        <w:tc>
          <w:tcPr>
            <w:tcW w:type="dxa" w:w="2160"/>
          </w:tcPr>
          <w:p>
            <w:r>
              <w:rPr>
                <w:sz w:val="19"/>
              </w:rPr>
              <w:t>W-2 UAE cohort + TR doors</w:t>
            </w:r>
          </w:p>
        </w:tc>
        <w:tc>
          <w:tcPr>
            <w:tcW w:type="dxa" w:w="2160"/>
          </w:tcPr>
          <w:p>
            <w:r>
              <w:rPr>
                <w:sz w:val="19"/>
              </w:rPr>
              <w:t>AE-02/08/09/10/11/12/21, TR-01..04</w:t>
            </w:r>
          </w:p>
        </w:tc>
        <w:tc>
          <w:tcPr>
            <w:tcW w:type="dxa" w:w="2160"/>
          </w:tcPr>
          <w:p>
            <w:r>
              <w:rPr>
                <w:sz w:val="19"/>
              </w:rPr>
              <w:t>wk5–7</w:t>
            </w:r>
          </w:p>
        </w:tc>
        <w:tc>
          <w:tcPr>
            <w:tcW w:type="dxa" w:w="2160"/>
          </w:tcPr>
          <w:p>
            <w:r>
              <w:rPr>
                <w:sz w:val="19"/>
              </w:rPr>
              <w:t>Channel partner (ACT-005) + corridor report</w:t>
            </w:r>
          </w:p>
        </w:tc>
      </w:tr>
      <w:tr>
        <w:tc>
          <w:tcPr>
            <w:tcW w:type="dxa" w:w="2160"/>
          </w:tcPr>
          <w:p>
            <w:r>
              <w:rPr>
                <w:sz w:val="19"/>
              </w:rPr>
              <w:t>W-3 SEA cohort + Egypt window</w:t>
            </w:r>
          </w:p>
        </w:tc>
        <w:tc>
          <w:tcPr>
            <w:tcW w:type="dxa" w:w="2160"/>
          </w:tcPr>
          <w:p>
            <w:r>
              <w:rPr>
                <w:sz w:val="19"/>
              </w:rPr>
              <w:t>TH-03/04, PH-01..04, ID-01..03, EG-01..03</w:t>
            </w:r>
          </w:p>
        </w:tc>
        <w:tc>
          <w:tcPr>
            <w:tcW w:type="dxa" w:w="2160"/>
          </w:tcPr>
          <w:p>
            <w:r>
              <w:rPr>
                <w:sz w:val="19"/>
              </w:rPr>
              <w:t>wk7–10</w:t>
            </w:r>
          </w:p>
        </w:tc>
        <w:tc>
          <w:tcPr>
            <w:tcW w:type="dxa" w:w="2160"/>
          </w:tcPr>
          <w:p>
            <w:r>
              <w:rPr>
                <w:sz w:val="19"/>
              </w:rPr>
              <w:t>W-1 reference exists</w:t>
            </w:r>
          </w:p>
        </w:tc>
      </w:tr>
      <w:tr>
        <w:tc>
          <w:tcPr>
            <w:tcW w:type="dxa" w:w="2160"/>
          </w:tcPr>
          <w:p>
            <w:r>
              <w:rPr>
                <w:sz w:val="19"/>
              </w:rPr>
              <w:t>W-4 CH (only if ACT-006 green) + Bahrain + Levant optionality</w:t>
            </w:r>
          </w:p>
        </w:tc>
        <w:tc>
          <w:tcPr>
            <w:tcW w:type="dxa" w:w="2160"/>
          </w:tcPr>
          <w:p>
            <w:r>
              <w:rPr>
                <w:sz w:val="19"/>
              </w:rPr>
              <w:t>CH-03..07, X-01, BH-01/02/07, JO/MA</w:t>
            </w:r>
          </w:p>
        </w:tc>
        <w:tc>
          <w:tcPr>
            <w:tcW w:type="dxa" w:w="2160"/>
          </w:tcPr>
          <w:p>
            <w:r>
              <w:rPr>
                <w:sz w:val="19"/>
              </w:rPr>
              <w:t>wk9–13</w:t>
            </w:r>
          </w:p>
        </w:tc>
        <w:tc>
          <w:tcPr>
            <w:tcW w:type="dxa" w:w="2160"/>
          </w:tcPr>
          <w:p>
            <w:r>
              <w:rPr>
                <w:sz w:val="19"/>
              </w:rPr>
              <w:t>Methodology paper published</w:t>
            </w:r>
          </w:p>
        </w:tc>
      </w:tr>
      <w:tr>
        <w:tc>
          <w:tcPr>
            <w:tcW w:type="dxa" w:w="2160"/>
          </w:tcPr>
          <w:p>
            <w:r>
              <w:rPr>
                <w:sz w:val="19"/>
              </w:rPr>
              <w:t>W-5 KSA / Qatar / Kuwait / Oman / Iraq</w:t>
            </w:r>
          </w:p>
        </w:tc>
        <w:tc>
          <w:tcPr>
            <w:tcW w:type="dxa" w:w="2160"/>
          </w:tcPr>
          <w:p>
            <w:r>
              <w:rPr>
                <w:sz w:val="19"/>
              </w:rPr>
              <w:t>SA/QA/KW/OM/IQ rows</w:t>
            </w:r>
          </w:p>
        </w:tc>
        <w:tc>
          <w:tcPr>
            <w:tcW w:type="dxa" w:w="2160"/>
          </w:tcPr>
          <w:p>
            <w:r>
              <w:rPr>
                <w:sz w:val="19"/>
              </w:rPr>
              <w:t>P2 only, policy-flip triggered</w:t>
            </w:r>
          </w:p>
        </w:tc>
        <w:tc>
          <w:tcPr>
            <w:tcW w:type="dxa" w:w="2160"/>
          </w:tcPr>
          <w:p>
            <w:r>
              <w:rPr>
                <w:sz w:val="19"/>
              </w:rPr>
              <w:t>AE/TR references + no state-politics pitching (IQ = corpus-intel only, per roster note)</w:t>
            </w:r>
          </w:p>
        </w:tc>
      </w:tr>
    </w:tbl>
    <w:p/>
    <w:p>
      <w:pPr>
        <w:pStyle w:val="Heading2"/>
      </w:pPr>
      <w:r>
        <w:t>4. Budget envelope [EST — validate against Aras finance]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Line</w:t>
            </w:r>
          </w:p>
        </w:tc>
        <w:tc>
          <w:tcPr>
            <w:tcW w:type="dxa" w:w="2160"/>
          </w:tcPr>
          <w:p>
            <w:r>
              <w:rPr>
                <w:b/>
              </w:rPr>
              <w:t>P0 (wk1–4)</w:t>
            </w:r>
          </w:p>
        </w:tc>
        <w:tc>
          <w:tcPr>
            <w:tcW w:type="dxa" w:w="2160"/>
          </w:tcPr>
          <w:p>
            <w:r>
              <w:rPr>
                <w:b/>
              </w:rPr>
              <w:t>P1 (wk5–12)</w:t>
            </w:r>
          </w:p>
        </w:tc>
        <w:tc>
          <w:tcPr>
            <w:tcW w:type="dxa" w:w="2160"/>
          </w:tcPr>
          <w:p>
            <w:r>
              <w:rPr>
                <w:b/>
              </w:rPr>
              <w:t>Notes</w:t>
            </w:r>
          </w:p>
        </w:tc>
      </w:tr>
      <w:tr>
        <w:tc>
          <w:tcPr>
            <w:tcW w:type="dxa" w:w="2160"/>
          </w:tcPr>
          <w:p>
            <w:r>
              <w:rPr>
                <w:sz w:val="19"/>
              </w:rPr>
              <w:t>Product (2 eng + 1 data, existing staff)</w:t>
            </w:r>
          </w:p>
        </w:tc>
        <w:tc>
          <w:tcPr>
            <w:tcW w:type="dxa" w:w="2160"/>
          </w:tcPr>
          <w:p>
            <w:r>
              <w:rPr>
                <w:sz w:val="19"/>
              </w:rPr>
              <w:t>staff-cost</w:t>
            </w:r>
          </w:p>
        </w:tc>
        <w:tc>
          <w:tcPr>
            <w:tcW w:type="dxa" w:w="2160"/>
          </w:tcPr>
          <w:p>
            <w:r>
              <w:rPr>
                <w:sz w:val="19"/>
              </w:rPr>
              <w:t>staff-cost</w:t>
            </w:r>
          </w:p>
        </w:tc>
        <w:tc>
          <w:tcPr>
            <w:tcW w:type="dxa" w:w="2160"/>
          </w:tcPr>
          <w:p>
            <w:r>
              <w:rPr>
                <w:sz w:val="19"/>
              </w:rPr>
              <w:t>binding constraint per STRATEGY §10 — no new eng hires in 90 days</w:t>
            </w:r>
          </w:p>
        </w:tc>
      </w:tr>
      <w:tr>
        <w:tc>
          <w:tcPr>
            <w:tcW w:type="dxa" w:w="2160"/>
          </w:tcPr>
          <w:p>
            <w:r>
              <w:rPr>
                <w:sz w:val="19"/>
              </w:rPr>
              <w:t>AML/CFT hire</w:t>
            </w:r>
          </w:p>
        </w:tc>
        <w:tc>
          <w:tcPr>
            <w:tcW w:type="dxa" w:w="2160"/>
          </w:tcPr>
          <w:p>
            <w:r>
              <w:rPr>
                <w:sz w:val="19"/>
              </w:rPr>
              <w:t>partial month</w:t>
            </w:r>
          </w:p>
        </w:tc>
        <w:tc>
          <w:tcPr>
            <w:tcW w:type="dxa" w:w="2160"/>
          </w:tcPr>
          <w:p>
            <w:r>
              <w:rPr>
                <w:sz w:val="19"/>
              </w:rPr>
              <w:t>full</w:t>
            </w:r>
          </w:p>
        </w:tc>
        <w:tc>
          <w:tcPr>
            <w:tcW w:type="dxa" w:w="2160"/>
          </w:tcPr>
          <w:p>
            <w:r>
              <w:rPr>
                <w:sz w:val="19"/>
              </w:rPr>
              <w:t>band per JD v2 (Sr Exec/AM)</w:t>
            </w:r>
          </w:p>
        </w:tc>
      </w:tr>
      <w:tr>
        <w:tc>
          <w:tcPr>
            <w:tcW w:type="dxa" w:w="2160"/>
          </w:tcPr>
          <w:p>
            <w:r>
              <w:rPr>
                <w:sz w:val="19"/>
              </w:rPr>
              <w:t>Pipeline runner (hire or secondment)</w:t>
            </w:r>
          </w:p>
        </w:tc>
        <w:tc>
          <w:tcPr>
            <w:tcW w:type="dxa" w:w="2160"/>
          </w:tcPr>
          <w:p>
            <w:r>
              <w:rPr>
                <w:sz w:val="19"/>
              </w:rPr>
              <w:t>offer wk4</w:t>
            </w:r>
          </w:p>
        </w:tc>
        <w:tc>
          <w:tcPr>
            <w:tcW w:type="dxa" w:w="2160"/>
          </w:tcPr>
          <w:p>
            <w:r>
              <w:rPr>
                <w:sz w:val="19"/>
              </w:rPr>
              <w:t>full</w:t>
            </w:r>
          </w:p>
        </w:tc>
        <w:tc>
          <w:tcPr>
            <w:tcW w:type="dxa" w:w="2160"/>
          </w:tcPr>
          <w:p>
            <w:r>
              <w:rPr>
                <w:b/>
                <w:sz w:val="19"/>
              </w:rPr>
              <w:t>largest plan gap until filled — see §5</w:t>
            </w:r>
          </w:p>
        </w:tc>
      </w:tr>
      <w:tr>
        <w:tc>
          <w:tcPr>
            <w:tcW w:type="dxa" w:w="2160"/>
          </w:tcPr>
          <w:p>
            <w:r>
              <w:rPr>
                <w:sz w:val="19"/>
              </w:rPr>
              <w:t>Corpus seed purchase</w:t>
            </w:r>
          </w:p>
        </w:tc>
        <w:tc>
          <w:tcPr>
            <w:tcW w:type="dxa" w:w="2160"/>
          </w:tcPr>
          <w:p>
            <w:r>
              <w:rPr>
                <w:sz w:val="19"/>
              </w:rPr>
              <w:t>~USD 5–25k once</w:t>
            </w:r>
          </w:p>
        </w:tc>
        <w:tc>
          <w:tcPr>
            <w:tcW w:type="dxa" w:w="2160"/>
          </w:tcPr>
          <w:p>
            <w:r>
              <w:rPr>
                <w:sz w:val="19"/>
              </w:rPr>
              <w:t>—</w:t>
            </w:r>
          </w:p>
        </w:tc>
        <w:tc>
          <w:tcPr>
            <w:tcW w:type="dxa" w:w="2160"/>
          </w:tcPr>
          <w:p>
            <w:r>
              <w:rPr>
                <w:sz w:val="19"/>
              </w:rPr>
              <w:t>cluster datasets/exchange attribution lists [EST low-5-figures]</w:t>
            </w:r>
          </w:p>
        </w:tc>
      </w:tr>
      <w:tr>
        <w:tc>
          <w:tcPr>
            <w:tcW w:type="dxa" w:w="2160"/>
          </w:tcPr>
          <w:p>
            <w:r>
              <w:rPr>
                <w:sz w:val="19"/>
              </w:rPr>
              <w:t>Travel (KL/VN/BKK/DXB; +IST if wk10 plan green)</w:t>
            </w:r>
          </w:p>
        </w:tc>
        <w:tc>
          <w:tcPr>
            <w:tcW w:type="dxa" w:w="2160"/>
          </w:tcPr>
          <w:p>
            <w:r>
              <w:rPr>
                <w:sz w:val="19"/>
              </w:rPr>
              <w:t>RM 8–15k</w:t>
            </w:r>
          </w:p>
        </w:tc>
        <w:tc>
          <w:tcPr>
            <w:tcW w:type="dxa" w:w="2160"/>
          </w:tcPr>
          <w:p>
            <w:r>
              <w:rPr>
                <w:sz w:val="19"/>
              </w:rPr>
              <w:t>RM 25–40k</w:t>
            </w:r>
          </w:p>
        </w:tc>
        <w:tc>
          <w:tcPr>
            <w:tcW w:type="dxa" w:w="2160"/>
          </w:tcPr>
          <w:p>
            <w:r>
              <w:rPr>
                <w:sz w:val="19"/>
              </w:rPr>
              <w:t>pilot-first: travel only against scheduled meetings with signed NDA/MOU pipeline</w:t>
            </w:r>
          </w:p>
        </w:tc>
      </w:tr>
      <w:tr>
        <w:tc>
          <w:tcPr>
            <w:tcW w:type="dxa" w:w="2160"/>
          </w:tcPr>
          <w:p>
            <w:r>
              <w:rPr>
                <w:sz w:val="19"/>
              </w:rPr>
              <w:t>Channel economics (referral/listing)</w:t>
            </w:r>
          </w:p>
        </w:tc>
        <w:tc>
          <w:tcPr>
            <w:tcW w:type="dxa" w:w="2160"/>
          </w:tcPr>
          <w:p>
            <w:r>
              <w:rPr>
                <w:sz w:val="19"/>
              </w:rPr>
              <w:t>—</w:t>
            </w:r>
          </w:p>
        </w:tc>
        <w:tc>
          <w:tcPr>
            <w:tcW w:type="dxa" w:w="2160"/>
          </w:tcPr>
          <w:p>
            <w:r>
              <w:rPr>
                <w:sz w:val="19"/>
              </w:rPr>
              <w:t>RM 10–20k</w:t>
            </w:r>
          </w:p>
        </w:tc>
        <w:tc>
          <w:tcPr>
            <w:tcW w:type="dxa" w:w="2160"/>
          </w:tcPr>
          <w:p>
            <w:r>
              <w:rPr>
                <w:sz w:val="19"/>
              </w:rPr>
              <w:t>Path 4 rails; pay honestly, log against bookings</w:t>
            </w:r>
          </w:p>
        </w:tc>
      </w:tr>
      <w:tr>
        <w:tc>
          <w:tcPr>
            <w:tcW w:type="dxa" w:w="2160"/>
          </w:tcPr>
          <w:p>
            <w:r>
              <w:rPr>
                <w:sz w:val="19"/>
              </w:rPr>
              <w:t>Evidence/publishing (corridor report, methodology paper venue)</w:t>
            </w:r>
          </w:p>
        </w:tc>
        <w:tc>
          <w:tcPr>
            <w:tcW w:type="dxa" w:w="2160"/>
          </w:tcPr>
          <w:p>
            <w:r>
              <w:rPr>
                <w:sz w:val="19"/>
              </w:rPr>
              <w:t>RM 2–5k</w:t>
            </w:r>
          </w:p>
        </w:tc>
        <w:tc>
          <w:tcPr>
            <w:tcW w:type="dxa" w:w="2160"/>
          </w:tcPr>
          <w:p>
            <w:r>
              <w:rPr>
                <w:sz w:val="19"/>
              </w:rPr>
              <w:t>RM 5–10k</w:t>
            </w:r>
          </w:p>
        </w:tc>
        <w:tc>
          <w:tcPr>
            <w:tcW w:type="dxa" w:w="2160"/>
          </w:tcPr>
          <w:p>
            <w:r>
              <w:rPr>
                <w:sz w:val="19"/>
              </w:rPr>
              <w:t>Path 5; doubles as corpus work</w:t>
            </w:r>
          </w:p>
        </w:tc>
      </w:tr>
      <w:tr>
        <w:tc>
          <w:tcPr>
            <w:tcW w:type="dxa" w:w="2160"/>
          </w:tcPr>
          <w:p>
            <w:r>
              <w:rPr>
                <w:b/>
                <w:sz w:val="19"/>
              </w:rPr>
              <w:t>Cash total (non-staff) [EST]</w:t>
            </w:r>
          </w:p>
        </w:tc>
        <w:tc>
          <w:tcPr>
            <w:tcW w:type="dxa" w:w="2160"/>
          </w:tcPr>
          <w:p>
            <w:r>
              <w:rPr>
                <w:b/>
                <w:sz w:val="19"/>
              </w:rPr>
              <w:t>RM 20–45k</w:t>
            </w:r>
          </w:p>
        </w:tc>
        <w:tc>
          <w:tcPr>
            <w:tcW w:type="dxa" w:w="2160"/>
          </w:tcPr>
          <w:p>
            <w:r>
              <w:rPr>
                <w:b/>
                <w:sz w:val="19"/>
              </w:rPr>
              <w:t>RM 45–90k</w:t>
            </w:r>
          </w:p>
        </w:tc>
        <w:tc>
          <w:tcPr>
            <w:tcW w:type="dxa" w:w="2160"/>
          </w:tcPr>
          <w:p>
            <w:r>
              <w:rPr>
                <w:sz w:val="19"/>
              </w:rPr>
              <w:t>≈ STRATEGY §10 envelope (3–4 staff-months equivalent) + seed purchase; no marketing spend until first two logos (strategy rule stands)</w:t>
            </w:r>
          </w:p>
        </w:tc>
      </w:tr>
    </w:tbl>
    <w:p/>
    <w:p>
      <w:pPr>
        <w:pStyle w:val="Heading2"/>
      </w:pPr>
      <w:r>
        <w:t>5. Staffing plan — four seats, in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Seat</w:t>
            </w:r>
          </w:p>
        </w:tc>
        <w:tc>
          <w:tcPr>
            <w:tcW w:type="dxa" w:w="2880"/>
          </w:tcPr>
          <w:p>
            <w:r>
              <w:rPr>
                <w:b/>
              </w:rPr>
              <w:t>Why now</w:t>
            </w:r>
          </w:p>
        </w:tc>
        <w:tc>
          <w:tcPr>
            <w:tcW w:type="dxa" w:w="2880"/>
          </w:tcPr>
          <w:p>
            <w:r>
              <w:rPr>
                <w:b/>
              </w:rPr>
              <w:t>Status</w:t>
            </w:r>
          </w:p>
        </w:tc>
      </w:tr>
      <w:tr>
        <w:tc>
          <w:tcPr>
            <w:tcW w:type="dxa" w:w="2880"/>
          </w:tcPr>
          <w:p>
            <w:r>
              <w:rPr>
                <w:b/>
                <w:sz w:val="19"/>
              </w:rPr>
              <w:t>Product trio (2 eng + 1 data)</w:t>
            </w:r>
          </w:p>
        </w:tc>
        <w:tc>
          <w:tcPr>
            <w:tcW w:type="dxa" w:w="2880"/>
          </w:tcPr>
          <w:p>
            <w:r>
              <w:rPr>
                <w:sz w:val="19"/>
              </w:rPr>
              <w:t>G1/G2/G5 = the gate everything queues behind</w:t>
            </w:r>
          </w:p>
        </w:tc>
        <w:tc>
          <w:tcPr>
            <w:tcW w:type="dxa" w:w="2880"/>
          </w:tcPr>
          <w:p>
            <w:r>
              <w:rPr>
                <w:sz w:val="19"/>
              </w:rPr>
              <w:t xml:space="preserve">assumed available — </w:t>
            </w:r>
            <w:r>
              <w:rPr>
                <w:b/>
                <w:sz w:val="19"/>
              </w:rPr>
              <w:t>unverified assumption of 2 concurrent engineers is inside RSK-20261006-001; confirm this week</w:t>
            </w:r>
          </w:p>
        </w:tc>
      </w:tr>
      <w:tr>
        <w:tc>
          <w:tcPr>
            <w:tcW w:type="dxa" w:w="2880"/>
          </w:tcPr>
          <w:p>
            <w:r>
              <w:rPr>
                <w:b/>
                <w:sz w:val="19"/>
              </w:rPr>
              <w:t>AML/CFT specialist</w:t>
            </w:r>
          </w:p>
        </w:tc>
        <w:tc>
          <w:tcPr>
            <w:tcW w:type="dxa" w:w="2880"/>
          </w:tcPr>
          <w:p>
            <w:r>
              <w:rPr>
                <w:sz w:val="19"/>
              </w:rPr>
              <w:t>lawful pilots, defensible labels, regulator prose (JD v2)</w:t>
            </w:r>
          </w:p>
        </w:tc>
        <w:tc>
          <w:tcPr>
            <w:tcW w:type="dxa" w:w="2880"/>
          </w:tcPr>
          <w:p>
            <w:r>
              <w:rPr>
                <w:sz w:val="19"/>
              </w:rPr>
              <w:t>posted; hire target wk4 offer</w:t>
            </w:r>
          </w:p>
        </w:tc>
      </w:tr>
      <w:tr>
        <w:tc>
          <w:tcPr>
            <w:tcW w:type="dxa" w:w="2880"/>
          </w:tcPr>
          <w:p>
            <w:r>
              <w:rPr>
                <w:b/>
                <w:sz w:val="19"/>
              </w:rPr>
              <w:t>Pipeline runner (1 FTE)</w:t>
            </w:r>
          </w:p>
        </w:tc>
        <w:tc>
          <w:tcPr>
            <w:tcW w:type="dxa" w:w="2880"/>
          </w:tcPr>
          <w:p>
            <w:r>
              <w:rPr>
                <w:sz w:val="19"/>
              </w:rPr>
              <w:t>seed-15 conversations across 4 timezones; Hadri cannot be wedge-architect + presales closer + SDR</w:t>
            </w:r>
          </w:p>
        </w:tc>
        <w:tc>
          <w:tcPr>
            <w:tcW w:type="dxa" w:w="2880"/>
          </w:tcPr>
          <w:p>
            <w:r>
              <w:rPr>
                <w:b/>
                <w:sz w:val="19"/>
              </w:rPr>
              <w:t>OPEN — the biggest gap.</w:t>
            </w:r>
            <w:r>
              <w:rPr>
                <w:sz w:val="19"/>
              </w:rPr>
              <w:t xml:space="preserve"> Options: (a) hire junior BD exec (RM 6–9k [EST], slower ramp); (b) second from Aras services with commission upside (fastest, keeps cash flat); (c) Faurani's practice carries MY doors + contractor for MEA. Decision D-03</w:t>
            </w:r>
          </w:p>
        </w:tc>
      </w:tr>
      <w:tr>
        <w:tc>
          <w:tcPr>
            <w:tcW w:type="dxa" w:w="2880"/>
          </w:tcPr>
          <w:p>
            <w:r>
              <w:rPr>
                <w:b/>
                <w:sz w:val="19"/>
              </w:rPr>
              <w:t>Hadri</w:t>
            </w:r>
          </w:p>
        </w:tc>
        <w:tc>
          <w:tcPr>
            <w:tcW w:type="dxa" w:w="2880"/>
          </w:tcPr>
          <w:p>
            <w:r>
              <w:rPr>
                <w:sz w:val="19"/>
              </w:rPr>
              <w:t>positioning, regulator-level doors, close</w:t>
            </w:r>
          </w:p>
        </w:tc>
        <w:tc>
          <w:tcPr>
            <w:tcW w:type="dxa" w:w="2880"/>
          </w:tcPr>
          <w:p>
            <w:r>
              <w:rPr>
                <w:sz w:val="19"/>
              </w:rPr>
              <w:t>protected time rule: ≤2 presales meetings/wk; runner absorbs the rest</w:t>
            </w:r>
          </w:p>
        </w:tc>
      </w:tr>
    </w:tbl>
    <w:p/>
    <w:p>
      <w:pPr>
        <w:pStyle w:val="Heading2"/>
      </w:pPr>
      <w:r>
        <w:t>6. Operating rhythm</w:t>
      </w:r>
    </w:p>
    <w:p>
      <w:pPr>
        <w:pStyle w:val="ListBullet"/>
      </w:pPr>
      <w:r>
        <w:rPr>
          <w:b/>
        </w:rPr>
        <w:t>Mon pipeline stand-up</w:t>
      </w:r>
      <w:r>
        <w:t xml:space="preserve"> (runner chairs; gate status, wave counts, blocked items) · </w:t>
      </w:r>
      <w:r>
        <w:rPr>
          <w:b/>
        </w:rPr>
        <w:t>Fri KPI line</w:t>
      </w:r>
      <w:r>
        <w:t xml:space="preserve"> (03 §1 tree, one line each, stored in </w:t>
      </w:r>
      <w:r>
        <w:rPr>
          <w:rFonts w:ascii="Consolas" w:hAnsi="Consolas"/>
          <w:sz w:val="19"/>
        </w:rPr>
        <w:t>activation/</w:t>
      </w:r>
      <w:r>
        <w:t xml:space="preserve"> log) · </w:t>
      </w:r>
      <w:r>
        <w:rPr>
          <w:b/>
        </w:rPr>
        <w:t>Gate reviews wk4/8/12</w:t>
      </w:r>
      <w:r>
        <w:t xml:space="preserve"> minuted with continue/kill evidence against STRATEGY §9 — minutes go to CognitiveOS as ACT outcomes on MERGE.</w:t>
      </w:r>
    </w:p>
    <w:p>
      <w:pPr>
        <w:pStyle w:val="ListBullet"/>
      </w:pPr>
      <w:r>
        <w:t>Register discipline: every meeting against a roster row updates that target's OPP/STK context; corpus-labelling requests from pilots flow to the AML hire's QA queue; nothing external-facing leaves the house without the epistemic check (unverified market claim → re-verify or cut).</w:t>
      </w:r>
    </w:p>
    <w:p>
      <w:pPr>
        <w:pStyle w:val="ListBullet"/>
      </w:pPr>
      <w:r>
        <w:rPr>
          <w:b/>
        </w:rPr>
        <w:t>Single-point rule:</w:t>
      </w:r>
      <w:r>
        <w:t xml:space="preserve"> if either the runner seat or the AML seat is still empty at wk6, W-2 opens with listings paperwork only (no travel-funded door campaign) — sequence beats speed when the bench is thin.</w:t>
      </w:r>
    </w:p>
    <w:p>
      <w:pPr>
        <w:pStyle w:val="Heading2"/>
      </w:pPr>
      <w:r>
        <w:t>7. Cross-references</w:t>
      </w:r>
    </w:p>
    <w:p>
      <w:r>
        <w:t xml:space="preserve">Doctrinal basis: </w:t>
      </w:r>
      <w:r>
        <w:rPr>
          <w:rFonts w:ascii="Consolas" w:hAnsi="Consolas"/>
          <w:sz w:val="19"/>
        </w:rPr>
        <w:t>strategy/STRATEGY.md</w:t>
      </w:r>
      <w:r>
        <w:t xml:space="preserve"> v2 §1–11 · Rosters: </w:t>
      </w:r>
      <w:r>
        <w:rPr>
          <w:rFonts w:ascii="Consolas" w:hAnsi="Consolas"/>
          <w:sz w:val="19"/>
        </w:rPr>
        <w:t>roster/target-roster.csv</w:t>
      </w:r>
      <w:r>
        <w:t xml:space="preserve">, </w:t>
      </w:r>
      <w:r>
        <w:rPr>
          <w:rFonts w:ascii="Consolas" w:hAnsi="Consolas"/>
          <w:sz w:val="19"/>
        </w:rPr>
        <w:t>roster/mea-roster.csv</w:t>
      </w:r>
      <w:r>
        <w:t xml:space="preserve"> · Hire: </w:t>
      </w:r>
      <w:r>
        <w:rPr>
          <w:rFonts w:ascii="Consolas" w:hAnsi="Consolas"/>
          <w:sz w:val="19"/>
        </w:rPr>
        <w:t>strategy/JD-AML-CFT-SPECIALIST.md</w:t>
      </w:r>
      <w:r>
        <w:t xml:space="preserve"> v2 · Register: INIT-20261006-001 and family (ACT deadlines embedded in §2 calendar; JSJK = ACT-20261008-001; hire = ACT-20261008-002).</w:t>
      </w:r>
    </w:p>
    <w:p>
      <w:r>
        <w:br w:type="page"/>
      </w:r>
    </w:p>
    <w:p>
      <w:pPr>
        <w:pStyle w:val="Heading1"/>
      </w:pPr>
      <w:r>
        <w:t>03 — KPIs, Risk Register &amp; Open Decisions</w:t>
      </w:r>
    </w:p>
    <w:p>
      <w:r>
        <w:rPr>
          <w:b/>
        </w:rPr>
        <w:t>Status:</w:t>
      </w:r>
      <w:r>
        <w:t xml:space="preserve"> Canonical v1 (2026-10-08) · Read with </w:t>
      </w:r>
      <w:r>
        <w:rPr>
          <w:rFonts w:ascii="Consolas" w:hAnsi="Consolas"/>
          <w:sz w:val="19"/>
        </w:rPr>
        <w:t>02-MASTER-PLAN.md</w:t>
      </w:r>
      <w:r>
        <w:t xml:space="preserve"> calendar; gate values inherit STRATEGY §9.</w:t>
      </w:r>
    </w:p>
    <w:p>
      <w:pPr>
        <w:pStyle w:val="Heading2"/>
      </w:pPr>
      <w:r>
        <w:t>1. KPI tree (Friday one-line log; owner in brackets)</w:t>
      </w:r>
    </w:p>
    <w:p>
      <w:pPr>
        <w:pStyle w:val="Heading3"/>
      </w:pPr>
      <w:r>
        <w:t>Level 1 — Program outcomes (board view)</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KPI</w:t>
            </w:r>
          </w:p>
        </w:tc>
        <w:tc>
          <w:tcPr>
            <w:tcW w:type="dxa" w:w="1440"/>
          </w:tcPr>
          <w:p>
            <w:r>
              <w:rPr>
                <w:b/>
              </w:rPr>
              <w:t>Definition</w:t>
            </w:r>
          </w:p>
        </w:tc>
        <w:tc>
          <w:tcPr>
            <w:tcW w:type="dxa" w:w="1440"/>
          </w:tcPr>
          <w:p>
            <w:r>
              <w:rPr>
                <w:b/>
              </w:rPr>
              <w:t>wk4</w:t>
            </w:r>
          </w:p>
        </w:tc>
        <w:tc>
          <w:tcPr>
            <w:tcW w:type="dxa" w:w="1440"/>
          </w:tcPr>
          <w:p>
            <w:r>
              <w:rPr>
                <w:b/>
              </w:rPr>
              <w:t>wk8</w:t>
            </w:r>
          </w:p>
        </w:tc>
        <w:tc>
          <w:tcPr>
            <w:tcW w:type="dxa" w:w="1440"/>
          </w:tcPr>
          <w:p>
            <w:r>
              <w:rPr>
                <w:b/>
              </w:rPr>
              <w:t>wk12</w:t>
            </w:r>
          </w:p>
        </w:tc>
        <w:tc>
          <w:tcPr>
            <w:tcW w:type="dxa" w:w="1440"/>
          </w:tcPr>
          <w:p>
            <w:r>
              <w:rPr>
                <w:b/>
              </w:rPr>
              <w:t>wk26</w:t>
            </w:r>
          </w:p>
        </w:tc>
      </w:tr>
      <w:tr>
        <w:tc>
          <w:tcPr>
            <w:tcW w:type="dxa" w:w="1440"/>
          </w:tcPr>
          <w:p>
            <w:r>
              <w:rPr>
                <w:sz w:val="19"/>
              </w:rPr>
              <w:t>Signed design partners</w:t>
            </w:r>
          </w:p>
        </w:tc>
        <w:tc>
          <w:tcPr>
            <w:tcW w:type="dxa" w:w="1440"/>
          </w:tcPr>
          <w:p>
            <w:r>
              <w:rPr>
                <w:sz w:val="19"/>
              </w:rPr>
              <w:t>MOUs w/ data-rights clause</w:t>
            </w:r>
          </w:p>
        </w:tc>
        <w:tc>
          <w:tcPr>
            <w:tcW w:type="dxa" w:w="1440"/>
          </w:tcPr>
          <w:p>
            <w:r>
              <w:rPr>
                <w:sz w:val="19"/>
              </w:rPr>
              <w:t>≥2</w:t>
            </w:r>
          </w:p>
        </w:tc>
        <w:tc>
          <w:tcPr>
            <w:tcW w:type="dxa" w:w="1440"/>
          </w:tcPr>
          <w:p>
            <w:r>
              <w:rPr>
                <w:sz w:val="19"/>
              </w:rPr>
              <w:t>≥2</w:t>
            </w:r>
          </w:p>
        </w:tc>
        <w:tc>
          <w:tcPr>
            <w:tcW w:type="dxa" w:w="1440"/>
          </w:tcPr>
          <w:p>
            <w:r>
              <w:rPr>
                <w:sz w:val="19"/>
              </w:rPr>
              <w:t>≥4</w:t>
            </w:r>
          </w:p>
        </w:tc>
        <w:tc>
          <w:tcPr>
            <w:tcW w:type="dxa" w:w="1440"/>
          </w:tcPr>
          <w:p>
            <w:r>
              <w:rPr>
                <w:sz w:val="19"/>
              </w:rPr>
              <w:t>≥8 (≥3 conversion-committed)</w:t>
            </w:r>
          </w:p>
        </w:tc>
      </w:tr>
      <w:tr>
        <w:tc>
          <w:tcPr>
            <w:tcW w:type="dxa" w:w="1440"/>
          </w:tcPr>
          <w:p>
            <w:r>
              <w:rPr>
                <w:sz w:val="19"/>
              </w:rPr>
              <w:t>Customer-named artifacts</w:t>
            </w:r>
          </w:p>
        </w:tc>
        <w:tc>
          <w:tcPr>
            <w:tcW w:type="dxa" w:w="1440"/>
          </w:tcPr>
          <w:p>
            <w:r>
              <w:rPr>
                <w:sz w:val="19"/>
              </w:rPr>
              <w:t xml:space="preserve">report/reference with </w:t>
            </w:r>
            <w:r>
              <w:rPr>
                <w:i/>
                <w:sz w:val="19"/>
              </w:rPr>
              <w:t>their</w:t>
            </w:r>
            <w:r>
              <w:rPr>
                <w:sz w:val="19"/>
              </w:rPr>
              <w:t xml:space="preserve"> name on it</w:t>
            </w:r>
          </w:p>
        </w:tc>
        <w:tc>
          <w:tcPr>
            <w:tcW w:type="dxa" w:w="1440"/>
          </w:tcPr>
          <w:p>
            <w:r>
              <w:rPr>
                <w:sz w:val="19"/>
              </w:rPr>
              <w:t>—</w:t>
            </w:r>
          </w:p>
        </w:tc>
        <w:tc>
          <w:tcPr>
            <w:tcW w:type="dxa" w:w="1440"/>
          </w:tcPr>
          <w:p>
            <w:r>
              <w:rPr>
                <w:sz w:val="19"/>
              </w:rPr>
              <w:t>≥1 drafted</w:t>
            </w:r>
          </w:p>
        </w:tc>
        <w:tc>
          <w:tcPr>
            <w:tcW w:type="dxa" w:w="1440"/>
          </w:tcPr>
          <w:p>
            <w:r>
              <w:rPr>
                <w:sz w:val="19"/>
              </w:rPr>
              <w:t>≥1</w:t>
            </w:r>
          </w:p>
        </w:tc>
        <w:tc>
          <w:tcPr>
            <w:tcW w:type="dxa" w:w="1440"/>
          </w:tcPr>
          <w:p>
            <w:r>
              <w:rPr>
                <w:sz w:val="19"/>
              </w:rPr>
              <w:t>≥2 (1 gov + 1 VASP)</w:t>
            </w:r>
          </w:p>
        </w:tc>
      </w:tr>
      <w:tr>
        <w:tc>
          <w:tcPr>
            <w:tcW w:type="dxa" w:w="1440"/>
          </w:tcPr>
          <w:p>
            <w:r>
              <w:rPr>
                <w:sz w:val="19"/>
              </w:rPr>
              <w:t>Regulator-listed progress</w:t>
            </w:r>
          </w:p>
        </w:tc>
        <w:tc>
          <w:tcPr>
            <w:tcW w:type="dxa" w:w="1440"/>
          </w:tcPr>
          <w:p>
            <w:r>
              <w:rPr>
                <w:sz w:val="19"/>
              </w:rPr>
              <w:t>applications accepted / listing achieved</w:t>
            </w:r>
          </w:p>
        </w:tc>
        <w:tc>
          <w:tcPr>
            <w:tcW w:type="dxa" w:w="1440"/>
          </w:tcPr>
          <w:p>
            <w:r>
              <w:rPr>
                <w:sz w:val="19"/>
              </w:rPr>
              <w:t>0</w:t>
            </w:r>
          </w:p>
        </w:tc>
        <w:tc>
          <w:tcPr>
            <w:tcW w:type="dxa" w:w="1440"/>
          </w:tcPr>
          <w:p>
            <w:r>
              <w:rPr>
                <w:sz w:val="19"/>
              </w:rPr>
              <w:t>1 application</w:t>
            </w:r>
          </w:p>
        </w:tc>
        <w:tc>
          <w:tcPr>
            <w:tcW w:type="dxa" w:w="1440"/>
          </w:tcPr>
          <w:p>
            <w:r>
              <w:rPr>
                <w:sz w:val="19"/>
              </w:rPr>
              <w:t>2 applications</w:t>
            </w:r>
          </w:p>
        </w:tc>
        <w:tc>
          <w:tcPr>
            <w:tcW w:type="dxa" w:w="1440"/>
          </w:tcPr>
          <w:p>
            <w:r>
              <w:rPr>
                <w:sz w:val="19"/>
              </w:rPr>
              <w:t>≥1 in-proc → achieved</w:t>
            </w:r>
          </w:p>
        </w:tc>
      </w:tr>
      <w:tr>
        <w:tc>
          <w:tcPr>
            <w:tcW w:type="dxa" w:w="1440"/>
          </w:tcPr>
          <w:p>
            <w:r>
              <w:rPr>
                <w:sz w:val="19"/>
              </w:rPr>
              <w:t>Cash bookings [EST]</w:t>
            </w:r>
          </w:p>
        </w:tc>
        <w:tc>
          <w:tcPr>
            <w:tcW w:type="dxa" w:w="1440"/>
          </w:tcPr>
          <w:p>
            <w:r>
              <w:rPr>
                <w:sz w:val="19"/>
              </w:rPr>
              <w:t>signed ACV (pilots free per strategy)</w:t>
            </w:r>
          </w:p>
        </w:tc>
        <w:tc>
          <w:tcPr>
            <w:tcW w:type="dxa" w:w="1440"/>
          </w:tcPr>
          <w:p>
            <w:r>
              <w:rPr>
                <w:sz w:val="19"/>
              </w:rPr>
              <w:t>0</w:t>
            </w:r>
          </w:p>
        </w:tc>
        <w:tc>
          <w:tcPr>
            <w:tcW w:type="dxa" w:w="1440"/>
          </w:tcPr>
          <w:p>
            <w:r>
              <w:rPr>
                <w:sz w:val="19"/>
              </w:rPr>
              <w:t>0</w:t>
            </w:r>
          </w:p>
        </w:tc>
        <w:tc>
          <w:tcPr>
            <w:tcW w:type="dxa" w:w="1440"/>
          </w:tcPr>
          <w:p>
            <w:r>
              <w:rPr>
                <w:sz w:val="19"/>
              </w:rPr>
              <w:t>0–1</w:t>
            </w:r>
          </w:p>
        </w:tc>
        <w:tc>
          <w:tcPr>
            <w:tcW w:type="dxa" w:w="1440"/>
          </w:tcPr>
          <w:p>
            <w:r>
              <w:rPr>
                <w:sz w:val="19"/>
              </w:rPr>
              <w:t>≥ USD 150k</w:t>
            </w:r>
          </w:p>
        </w:tc>
      </w:tr>
    </w:tbl>
    <w:p/>
    <w:p>
      <w:pPr>
        <w:pStyle w:val="Heading3"/>
      </w:pPr>
      <w:r>
        <w:t>Level 2 — Pipeline health (weekly)</w:t>
      </w:r>
    </w:p>
    <w:tbl>
      <w:tblPr>
        <w:tblStyle w:val="LightGrid-Accent1"/>
        <w:tblW w:type="auto" w:w="0"/>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Target</w:t>
            </w:r>
          </w:p>
        </w:tc>
      </w:tr>
      <w:tr>
        <w:tc>
          <w:tcPr>
            <w:tcW w:type="dxa" w:w="4320"/>
          </w:tcPr>
          <w:p>
            <w:r>
              <w:rPr>
                <w:sz w:val="19"/>
              </w:rPr>
              <w:t>Seed conversations held (cumulative)</w:t>
            </w:r>
          </w:p>
        </w:tc>
        <w:tc>
          <w:tcPr>
            <w:tcW w:type="dxa" w:w="4320"/>
          </w:tcPr>
          <w:p>
            <w:r>
              <w:rPr>
                <w:sz w:val="19"/>
              </w:rPr>
              <w:t>wk4 ≥5 · wk8 ≥12 · wk12 ≥20</w:t>
            </w:r>
          </w:p>
        </w:tc>
      </w:tr>
      <w:tr>
        <w:tc>
          <w:tcPr>
            <w:tcW w:type="dxa" w:w="4320"/>
          </w:tcPr>
          <w:p>
            <w:r>
              <w:rPr>
                <w:sz w:val="19"/>
              </w:rPr>
              <w:t>Flow-scanner audits delivered (free first-value gift)</w:t>
            </w:r>
          </w:p>
        </w:tc>
        <w:tc>
          <w:tcPr>
            <w:tcW w:type="dxa" w:w="4320"/>
          </w:tcPr>
          <w:p>
            <w:r>
              <w:rPr>
                <w:sz w:val="19"/>
              </w:rPr>
              <w:t>≥1/week after G2</w:t>
            </w:r>
          </w:p>
        </w:tc>
      </w:tr>
      <w:tr>
        <w:tc>
          <w:tcPr>
            <w:tcW w:type="dxa" w:w="4320"/>
          </w:tcPr>
          <w:p>
            <w:r>
              <w:rPr>
                <w:sz w:val="19"/>
              </w:rPr>
              <w:t>Active pilots</w:t>
            </w:r>
          </w:p>
        </w:tc>
        <w:tc>
          <w:tcPr>
            <w:tcW w:type="dxa" w:w="4320"/>
          </w:tcPr>
          <w:p>
            <w:r>
              <w:rPr>
                <w:sz w:val="19"/>
              </w:rPr>
              <w:t>wk8 ≥3 · wk12 ≥8 · wk26 ≥10</w:t>
            </w:r>
          </w:p>
        </w:tc>
      </w:tr>
      <w:tr>
        <w:tc>
          <w:tcPr>
            <w:tcW w:type="dxa" w:w="4320"/>
          </w:tcPr>
          <w:p>
            <w:r>
              <w:rPr>
                <w:sz w:val="19"/>
              </w:rPr>
              <w:t>Pilot churn/withdrawals</w:t>
            </w:r>
          </w:p>
        </w:tc>
        <w:tc>
          <w:tcPr>
            <w:tcW w:type="dxa" w:w="4320"/>
          </w:tcPr>
          <w:p>
            <w:r>
              <w:rPr>
                <w:sz w:val="19"/>
              </w:rPr>
              <w:t>0 tolerated after wk8 (any churn = interview + minuted cause)</w:t>
            </w:r>
          </w:p>
        </w:tc>
      </w:tr>
      <w:tr>
        <w:tc>
          <w:tcPr>
            <w:tcW w:type="dxa" w:w="4320"/>
          </w:tcPr>
          <w:p>
            <w:r>
              <w:rPr>
                <w:sz w:val="19"/>
              </w:rPr>
              <w:t>Roster coverage: rows with named human + contact (STK records)</w:t>
            </w:r>
          </w:p>
        </w:tc>
        <w:tc>
          <w:tcPr>
            <w:tcW w:type="dxa" w:w="4320"/>
          </w:tcPr>
          <w:p>
            <w:r>
              <w:rPr>
                <w:sz w:val="19"/>
              </w:rPr>
              <w:t>≥50% of Wave-1 rows by wk4; ≥80% by wk12</w:t>
            </w:r>
          </w:p>
        </w:tc>
      </w:tr>
      <w:tr>
        <w:tc>
          <w:tcPr>
            <w:tcW w:type="dxa" w:w="4320"/>
          </w:tcPr>
          <w:p>
            <w:r>
              <w:rPr>
                <w:sz w:val="19"/>
              </w:rPr>
              <w:t>Inbound share of new meetings (Path 5 evidence pull)</w:t>
            </w:r>
          </w:p>
        </w:tc>
        <w:tc>
          <w:tcPr>
            <w:tcW w:type="dxa" w:w="4320"/>
          </w:tcPr>
          <w:p>
            <w:r>
              <w:rPr>
                <w:sz w:val="19"/>
              </w:rPr>
              <w:t>≥15% by wk16</w:t>
            </w:r>
          </w:p>
        </w:tc>
      </w:tr>
    </w:tbl>
    <w:p/>
    <w:p>
      <w:pPr>
        <w:pStyle w:val="Heading3"/>
      </w:pPr>
      <w:r>
        <w:t>Level 3 — Product &amp; corpus (gates)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Target</w:t>
            </w:r>
          </w:p>
        </w:tc>
      </w:tr>
      <w:tr>
        <w:tc>
          <w:tcPr>
            <w:tcW w:type="dxa" w:w="4320"/>
          </w:tcPr>
          <w:p>
            <w:r>
              <w:rPr>
                <w:sz w:val="19"/>
              </w:rPr>
              <w:t>G1 appliance hardening</w:t>
            </w:r>
          </w:p>
        </w:tc>
        <w:tc>
          <w:tcPr>
            <w:tcW w:type="dxa" w:w="4320"/>
          </w:tcPr>
          <w:p>
            <w:r>
              <w:rPr>
                <w:sz w:val="19"/>
              </w:rPr>
              <w:t>wk4 green</w:t>
            </w:r>
          </w:p>
        </w:tc>
      </w:tr>
      <w:tr>
        <w:tc>
          <w:tcPr>
            <w:tcW w:type="dxa" w:w="4320"/>
          </w:tcPr>
          <w:p>
            <w:r>
              <w:rPr>
                <w:sz w:val="19"/>
              </w:rPr>
              <w:t>G2 Reactor/CSV import demo-able (recorded demo exists)</w:t>
            </w:r>
          </w:p>
        </w:tc>
        <w:tc>
          <w:tcPr>
            <w:tcW w:type="dxa" w:w="4320"/>
          </w:tcPr>
          <w:p>
            <w:r>
              <w:rPr>
                <w:sz w:val="19"/>
              </w:rPr>
              <w:t>wk2 demo, wk4 gate</w:t>
            </w:r>
          </w:p>
        </w:tc>
      </w:tr>
      <w:tr>
        <w:tc>
          <w:tcPr>
            <w:tcW w:type="dxa" w:w="4320"/>
          </w:tcPr>
          <w:p>
            <w:r>
              <w:rPr>
                <w:sz w:val="19"/>
              </w:rPr>
              <w:t>G3 VASP webhook adapters</w:t>
            </w:r>
          </w:p>
        </w:tc>
        <w:tc>
          <w:tcPr>
            <w:tcW w:type="dxa" w:w="4320"/>
          </w:tcPr>
          <w:p>
            <w:r>
              <w:rPr>
                <w:sz w:val="19"/>
              </w:rPr>
              <w:t>≥2 by wk12 (not 5 — honest re-scope [ASSESSMENT])</w:t>
            </w:r>
          </w:p>
        </w:tc>
      </w:tr>
      <w:tr>
        <w:tc>
          <w:tcPr>
            <w:tcW w:type="dxa" w:w="4320"/>
          </w:tcPr>
          <w:p>
            <w:r>
              <w:rPr>
                <w:sz w:val="19"/>
              </w:rPr>
              <w:t>G4 court-grade report generator</w:t>
            </w:r>
          </w:p>
        </w:tc>
        <w:tc>
          <w:tcPr>
            <w:tcW w:type="dxa" w:w="4320"/>
          </w:tcPr>
          <w:p>
            <w:r>
              <w:rPr>
                <w:sz w:val="19"/>
              </w:rPr>
              <w:t>MY flavour wk10; AE/CH flavours wk20</w:t>
            </w:r>
          </w:p>
        </w:tc>
      </w:tr>
      <w:tr>
        <w:tc>
          <w:tcPr>
            <w:tcW w:type="dxa" w:w="4320"/>
          </w:tcPr>
          <w:p>
            <w:r>
              <w:rPr>
                <w:sz w:val="19"/>
              </w:rPr>
              <w:t>G5 corpus v0</w:t>
            </w:r>
          </w:p>
        </w:tc>
        <w:tc>
          <w:tcPr>
            <w:tcW w:type="dxa" w:w="4320"/>
          </w:tcPr>
          <w:p>
            <w:r>
              <w:rPr>
                <w:sz w:val="19"/>
              </w:rPr>
              <w:t>labelled/derived ≥10M addresses, one corridor precision measured on pilot feedback, by wk12</w:t>
            </w:r>
          </w:p>
        </w:tc>
      </w:tr>
      <w:tr>
        <w:tc>
          <w:tcPr>
            <w:tcW w:type="dxa" w:w="4320"/>
          </w:tcPr>
          <w:p>
            <w:r>
              <w:rPr>
                <w:sz w:val="19"/>
              </w:rPr>
              <w:t>Label provenance QA coverage</w:t>
            </w:r>
          </w:p>
        </w:tc>
        <w:tc>
          <w:tcPr>
            <w:tcW w:type="dxa" w:w="4320"/>
          </w:tcPr>
          <w:p>
            <w:r>
              <w:rPr>
                <w:sz w:val="19"/>
              </w:rPr>
              <w:t>100% (AML hire veto live from day one)</w:t>
            </w:r>
          </w:p>
        </w:tc>
      </w:tr>
      <w:tr>
        <w:tc>
          <w:tcPr>
            <w:tcW w:type="dxa" w:w="4320"/>
          </w:tcPr>
          <w:p>
            <w:r>
              <w:rPr>
                <w:sz w:val="19"/>
              </w:rPr>
              <w:t>Sanctions-list refresh latency</w:t>
            </w:r>
          </w:p>
        </w:tc>
        <w:tc>
          <w:tcPr>
            <w:tcW w:type="dxa" w:w="4320"/>
          </w:tcPr>
          <w:p>
            <w:r>
              <w:rPr>
                <w:sz w:val="19"/>
              </w:rPr>
              <w:t>&lt;48h from publication</w:t>
            </w:r>
          </w:p>
        </w:tc>
      </w:tr>
    </w:tbl>
    <w:p/>
    <w:p>
      <w:pPr>
        <w:pStyle w:val="Heading3"/>
      </w:pPr>
      <w:r>
        <w:t>Level 4 — Capability &amp; cash discipline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Target</w:t>
            </w:r>
          </w:p>
        </w:tc>
      </w:tr>
      <w:tr>
        <w:tc>
          <w:tcPr>
            <w:tcW w:type="dxa" w:w="4320"/>
          </w:tcPr>
          <w:p>
            <w:r>
              <w:rPr>
                <w:sz w:val="19"/>
              </w:rPr>
              <w:t>Seats filled (AML hire / runner)</w:t>
            </w:r>
          </w:p>
        </w:tc>
        <w:tc>
          <w:tcPr>
            <w:tcW w:type="dxa" w:w="4320"/>
          </w:tcPr>
          <w:p>
            <w:r>
              <w:rPr>
                <w:sz w:val="19"/>
              </w:rPr>
              <w:t>wk4 offer, wk6 live / wk4 decision, wk6 live</w:t>
            </w:r>
          </w:p>
        </w:tc>
      </w:tr>
      <w:tr>
        <w:tc>
          <w:tcPr>
            <w:tcW w:type="dxa" w:w="4320"/>
          </w:tcPr>
          <w:p>
            <w:r>
              <w:rPr>
                <w:sz w:val="19"/>
              </w:rPr>
              <w:t>Hadri presales load</w:t>
            </w:r>
          </w:p>
        </w:tc>
        <w:tc>
          <w:tcPr>
            <w:tcW w:type="dxa" w:w="4320"/>
          </w:tcPr>
          <w:p>
            <w:r>
              <w:rPr>
                <w:sz w:val="19"/>
              </w:rPr>
              <w:t>≤2 external meetings/week</w:t>
            </w:r>
          </w:p>
        </w:tc>
      </w:tr>
      <w:tr>
        <w:tc>
          <w:tcPr>
            <w:tcW w:type="dxa" w:w="4320"/>
          </w:tcPr>
          <w:p>
            <w:r>
              <w:rPr>
                <w:sz w:val="19"/>
              </w:rPr>
              <w:t>Non-staff cash vs envelope (02 §4)</w:t>
            </w:r>
          </w:p>
        </w:tc>
        <w:tc>
          <w:tcPr>
            <w:tcW w:type="dxa" w:w="4320"/>
          </w:tcPr>
          <w:p>
            <w:r>
              <w:rPr>
                <w:sz w:val="19"/>
              </w:rPr>
              <w:t>≤ envelope at every gate review</w:t>
            </w:r>
          </w:p>
        </w:tc>
      </w:tr>
      <w:tr>
        <w:tc>
          <w:tcPr>
            <w:tcW w:type="dxa" w:w="4320"/>
          </w:tcPr>
          <w:p>
            <w:r>
              <w:rPr>
                <w:sz w:val="19"/>
              </w:rPr>
              <w:t>Register hygiene: KPI Friday-line logged; ACT outcomes merged</w:t>
            </w:r>
          </w:p>
        </w:tc>
        <w:tc>
          <w:tcPr>
            <w:tcW w:type="dxa" w:w="4320"/>
          </w:tcPr>
          <w:p>
            <w:r>
              <w:rPr>
                <w:sz w:val="19"/>
              </w:rPr>
              <w:t>weekly, zero skipped weeks</w:t>
            </w:r>
          </w:p>
        </w:tc>
      </w:tr>
    </w:tbl>
    <w:p/>
    <w:p>
      <w:pPr>
        <w:pStyle w:val="Heading2"/>
      </w:pPr>
      <w:r>
        <w:t>2. Risk register (program-specific; RSK-20261006-001 remains the parent)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Risk</w:t>
            </w:r>
          </w:p>
        </w:tc>
        <w:tc>
          <w:tcPr>
            <w:tcW w:type="dxa" w:w="1440"/>
          </w:tcPr>
          <w:p>
            <w:r>
              <w:rPr>
                <w:b/>
              </w:rPr>
              <w:t>L</w:t>
            </w:r>
          </w:p>
        </w:tc>
        <w:tc>
          <w:tcPr>
            <w:tcW w:type="dxa" w:w="1440"/>
          </w:tcPr>
          <w:p>
            <w:r>
              <w:rPr>
                <w:b/>
              </w:rPr>
              <w:t>I</w:t>
            </w:r>
          </w:p>
        </w:tc>
        <w:tc>
          <w:tcPr>
            <w:tcW w:type="dxa" w:w="1440"/>
          </w:tcPr>
          <w:p>
            <w:r>
              <w:rPr>
                <w:b/>
              </w:rPr>
              <w:t>Mitigation</w:t>
            </w:r>
          </w:p>
        </w:tc>
        <w:tc>
          <w:tcPr>
            <w:tcW w:type="dxa" w:w="1440"/>
          </w:tcPr>
          <w:p>
            <w:r>
              <w:rPr>
                <w:b/>
              </w:rPr>
              <w:t>Trigger → response</w:t>
            </w:r>
          </w:p>
        </w:tc>
      </w:tr>
      <w:tr>
        <w:tc>
          <w:tcPr>
            <w:tcW w:type="dxa" w:w="1440"/>
          </w:tcPr>
          <w:p>
            <w:r>
              <w:rPr>
                <w:sz w:val="19"/>
              </w:rPr>
              <w:t>R1</w:t>
            </w:r>
          </w:p>
        </w:tc>
        <w:tc>
          <w:tcPr>
            <w:tcW w:type="dxa" w:w="1440"/>
          </w:tcPr>
          <w:p>
            <w:r>
              <w:rPr>
                <w:sz w:val="19"/>
              </w:rPr>
              <w:t>Pipeline outruns product (parent risk)</w:t>
            </w:r>
          </w:p>
        </w:tc>
        <w:tc>
          <w:tcPr>
            <w:tcW w:type="dxa" w:w="1440"/>
          </w:tcPr>
          <w:p>
            <w:r>
              <w:rPr>
                <w:sz w:val="19"/>
              </w:rPr>
              <w:t>M</w:t>
            </w:r>
          </w:p>
        </w:tc>
        <w:tc>
          <w:tcPr>
            <w:tcW w:type="dxa" w:w="1440"/>
          </w:tcPr>
          <w:p>
            <w:r>
              <w:rPr>
                <w:sz w:val="19"/>
              </w:rPr>
              <w:t>H</w:t>
            </w:r>
          </w:p>
        </w:tc>
        <w:tc>
          <w:tcPr>
            <w:tcW w:type="dxa" w:w="1440"/>
          </w:tcPr>
          <w:p>
            <w:r>
              <w:rPr>
                <w:sz w:val="19"/>
              </w:rPr>
              <w:t>Gate discipline; §7 exception protocol; runner sequencing rule (02 §6)</w:t>
            </w:r>
          </w:p>
        </w:tc>
        <w:tc>
          <w:tcPr>
            <w:tcW w:type="dxa" w:w="1440"/>
          </w:tcPr>
          <w:p>
            <w:r>
              <w:rPr>
                <w:sz w:val="19"/>
              </w:rPr>
              <w:t>wk4 G2 red → outreach freeze, product sprint</w:t>
            </w:r>
          </w:p>
        </w:tc>
      </w:tr>
      <w:tr>
        <w:tc>
          <w:tcPr>
            <w:tcW w:type="dxa" w:w="1440"/>
          </w:tcPr>
          <w:p>
            <w:r>
              <w:rPr>
                <w:sz w:val="19"/>
              </w:rPr>
              <w:t>R2</w:t>
            </w:r>
          </w:p>
        </w:tc>
        <w:tc>
          <w:tcPr>
            <w:tcW w:type="dxa" w:w="1440"/>
          </w:tcPr>
          <w:p>
            <w:r>
              <w:rPr>
                <w:sz w:val="19"/>
              </w:rPr>
              <w:t>Seats (AML/runner) unfilled by wk6 → Hadri single-point across 4 timezones</w:t>
            </w:r>
          </w:p>
        </w:tc>
        <w:tc>
          <w:tcPr>
            <w:tcW w:type="dxa" w:w="1440"/>
          </w:tcPr>
          <w:p>
            <w:r>
              <w:rPr>
                <w:b/>
                <w:sz w:val="19"/>
              </w:rPr>
              <w:t>H</w:t>
            </w:r>
          </w:p>
        </w:tc>
        <w:tc>
          <w:tcPr>
            <w:tcW w:type="dxa" w:w="1440"/>
          </w:tcPr>
          <w:p>
            <w:r>
              <w:rPr>
                <w:sz w:val="19"/>
              </w:rPr>
              <w:t>H</w:t>
            </w:r>
          </w:p>
        </w:tc>
        <w:tc>
          <w:tcPr>
            <w:tcW w:type="dxa" w:w="1440"/>
          </w:tcPr>
          <w:p>
            <w:r>
              <w:rPr>
                <w:sz w:val="19"/>
              </w:rPr>
              <w:t>ACT-002 live; runner options A/B/C (D-03); secondment fallback named</w:t>
            </w:r>
          </w:p>
        </w:tc>
        <w:tc>
          <w:tcPr>
            <w:tcW w:type="dxa" w:w="1440"/>
          </w:tcPr>
          <w:p>
            <w:r>
              <w:rPr>
                <w:sz w:val="19"/>
              </w:rPr>
              <w:t>wk6 empty → W-2 paperwork-only</w:t>
            </w:r>
          </w:p>
        </w:tc>
      </w:tr>
      <w:tr>
        <w:tc>
          <w:tcPr>
            <w:tcW w:type="dxa" w:w="1440"/>
          </w:tcPr>
          <w:p>
            <w:r>
              <w:rPr>
                <w:sz w:val="19"/>
              </w:rPr>
              <w:t>R3</w:t>
            </w:r>
          </w:p>
        </w:tc>
        <w:tc>
          <w:tcPr>
            <w:tcW w:type="dxa" w:w="1440"/>
          </w:tcPr>
          <w:p>
            <w:r>
              <w:rPr>
                <w:sz w:val="19"/>
              </w:rPr>
              <w:t>Product-engineer availability assumption unverified (inside parent risk)</w:t>
            </w:r>
          </w:p>
        </w:tc>
        <w:tc>
          <w:tcPr>
            <w:tcW w:type="dxa" w:w="1440"/>
          </w:tcPr>
          <w:p>
            <w:r>
              <w:rPr>
                <w:sz w:val="19"/>
              </w:rPr>
              <w:t>M</w:t>
            </w:r>
          </w:p>
        </w:tc>
        <w:tc>
          <w:tcPr>
            <w:tcW w:type="dxa" w:w="1440"/>
          </w:tcPr>
          <w:p>
            <w:r>
              <w:rPr>
                <w:sz w:val="19"/>
              </w:rPr>
              <w:t>H</w:t>
            </w:r>
          </w:p>
        </w:tc>
        <w:tc>
          <w:tcPr>
            <w:tcW w:type="dxa" w:w="1440"/>
          </w:tcPr>
          <w:p>
            <w:r>
              <w:rPr>
                <w:sz w:val="19"/>
              </w:rPr>
              <w:t>Confirm allocation THIS week (D-04)</w:t>
            </w:r>
          </w:p>
        </w:tc>
        <w:tc>
          <w:tcPr>
            <w:tcW w:type="dxa" w:w="1440"/>
          </w:tcPr>
          <w:p>
            <w:r>
              <w:rPr>
                <w:sz w:val="19"/>
              </w:rPr>
              <w:t>less than 2 engineers → G2 slips; re-plan P0, tell pilots honestly</w:t>
            </w:r>
          </w:p>
        </w:tc>
      </w:tr>
      <w:tr>
        <w:tc>
          <w:tcPr>
            <w:tcW w:type="dxa" w:w="1440"/>
          </w:tcPr>
          <w:p>
            <w:r>
              <w:rPr>
                <w:sz w:val="19"/>
              </w:rPr>
              <w:t>R4</w:t>
            </w:r>
          </w:p>
        </w:tc>
        <w:tc>
          <w:tcPr>
            <w:tcW w:type="dxa" w:w="1440"/>
          </w:tcPr>
          <w:p>
            <w:r>
              <w:rPr>
                <w:sz w:val="19"/>
              </w:rPr>
              <w:t>JSJK pilot converts to free casework forever (Thai-procurement pattern flagged in strategy)</w:t>
            </w:r>
          </w:p>
        </w:tc>
        <w:tc>
          <w:tcPr>
            <w:tcW w:type="dxa" w:w="1440"/>
          </w:tcPr>
          <w:p>
            <w:r>
              <w:rPr>
                <w:sz w:val="19"/>
              </w:rPr>
              <w:t>M</w:t>
            </w:r>
          </w:p>
        </w:tc>
        <w:tc>
          <w:tcPr>
            <w:tcW w:type="dxa" w:w="1440"/>
          </w:tcPr>
          <w:p>
            <w:r>
              <w:rPr>
                <w:sz w:val="19"/>
              </w:rPr>
              <w:t>M</w:t>
            </w:r>
          </w:p>
        </w:tc>
        <w:tc>
          <w:tcPr>
            <w:tcW w:type="dxa" w:w="1440"/>
          </w:tcPr>
          <w:p>
            <w:r>
              <w:rPr>
                <w:sz w:val="19"/>
              </w:rPr>
              <w:t>Hard conversion clause + data-rights term in every MOU (ACT-008)</w:t>
            </w:r>
          </w:p>
        </w:tc>
        <w:tc>
          <w:tcPr>
            <w:tcW w:type="dxa" w:w="1440"/>
          </w:tcPr>
          <w:p>
            <w:r>
              <w:rPr>
                <w:sz w:val="19"/>
              </w:rPr>
              <w:t>pilot end wk90 without conversion paper → escalate to COO, no auto-extend</w:t>
            </w:r>
          </w:p>
        </w:tc>
      </w:tr>
      <w:tr>
        <w:tc>
          <w:tcPr>
            <w:tcW w:type="dxa" w:w="1440"/>
          </w:tcPr>
          <w:p>
            <w:r>
              <w:rPr>
                <w:sz w:val="19"/>
              </w:rPr>
              <w:t>R5</w:t>
            </w:r>
          </w:p>
        </w:tc>
        <w:tc>
          <w:tcPr>
            <w:tcW w:type="dxa" w:w="1440"/>
          </w:tcPr>
          <w:p>
            <w:r>
              <w:rPr>
                <w:sz w:val="19"/>
              </w:rPr>
              <w:t>VARA/SCA turf: Dubai-vs-federal win misread as regime capture</w:t>
            </w:r>
          </w:p>
        </w:tc>
        <w:tc>
          <w:tcPr>
            <w:tcW w:type="dxa" w:w="1440"/>
          </w:tcPr>
          <w:p>
            <w:r>
              <w:rPr>
                <w:sz w:val="19"/>
              </w:rPr>
              <w:t>M</w:t>
            </w:r>
          </w:p>
        </w:tc>
        <w:tc>
          <w:tcPr>
            <w:tcW w:type="dxa" w:w="1440"/>
          </w:tcPr>
          <w:p>
            <w:r>
              <w:rPr>
                <w:sz w:val="19"/>
              </w:rPr>
              <w:t>M</w:t>
            </w:r>
          </w:p>
        </w:tc>
        <w:tc>
          <w:tcPr>
            <w:tcW w:type="dxa" w:w="1440"/>
          </w:tcPr>
          <w:p>
            <w:r>
              <w:rPr>
                <w:sz w:val="19"/>
              </w:rPr>
              <w:t>Two separate relationship tracks; no "we're listed" claims until written</w:t>
            </w:r>
          </w:p>
        </w:tc>
        <w:tc>
          <w:tcPr>
            <w:tcW w:type="dxa" w:w="1440"/>
          </w:tcPr>
          <w:p>
            <w:r>
              <w:rPr>
                <w:sz w:val="19"/>
              </w:rPr>
              <w:t>any door conflates them → correct in writing immediately</w:t>
            </w:r>
          </w:p>
        </w:tc>
      </w:tr>
      <w:tr>
        <w:tc>
          <w:tcPr>
            <w:tcW w:type="dxa" w:w="1440"/>
          </w:tcPr>
          <w:p>
            <w:r>
              <w:rPr>
                <w:sz w:val="19"/>
              </w:rPr>
              <w:t>R6</w:t>
            </w:r>
          </w:p>
        </w:tc>
        <w:tc>
          <w:tcPr>
            <w:tcW w:type="dxa" w:w="1440"/>
          </w:tcPr>
          <w:p>
            <w:r>
              <w:rPr>
                <w:sz w:val="19"/>
              </w:rPr>
              <w:t>CH origin-optics: sovereign story misread as BRICS-product story</w:t>
            </w:r>
          </w:p>
        </w:tc>
        <w:tc>
          <w:tcPr>
            <w:tcW w:type="dxa" w:w="1440"/>
          </w:tcPr>
          <w:p>
            <w:r>
              <w:rPr>
                <w:sz w:val="19"/>
              </w:rPr>
              <w:t>L</w:t>
            </w:r>
          </w:p>
        </w:tc>
        <w:tc>
          <w:tcPr>
            <w:tcW w:type="dxa" w:w="1440"/>
          </w:tcPr>
          <w:p>
            <w:r>
              <w:rPr>
                <w:sz w:val="19"/>
              </w:rPr>
              <w:t>H</w:t>
            </w:r>
          </w:p>
        </w:tc>
        <w:tc>
          <w:tcPr>
            <w:tcW w:type="dxa" w:w="1440"/>
          </w:tcPr>
          <w:p>
            <w:r>
              <w:rPr>
                <w:sz w:val="19"/>
              </w:rPr>
              <w:t>Narrative rule enforced (corridor not product); no RU/CN UI association; methodology paper first</w:t>
            </w:r>
          </w:p>
        </w:tc>
        <w:tc>
          <w:tcPr>
            <w:tcW w:type="dxa" w:w="1440"/>
          </w:tcPr>
          <w:p>
            <w:r>
              <w:rPr>
                <w:sz w:val="19"/>
              </w:rPr>
              <w:t>any artifact drifts narrative → pull before send</w:t>
            </w:r>
          </w:p>
        </w:tc>
      </w:tr>
      <w:tr>
        <w:tc>
          <w:tcPr>
            <w:tcW w:type="dxa" w:w="1440"/>
          </w:tcPr>
          <w:p>
            <w:r>
              <w:rPr>
                <w:sz w:val="19"/>
              </w:rPr>
              <w:t>R7</w:t>
            </w:r>
          </w:p>
        </w:tc>
        <w:tc>
          <w:tcPr>
            <w:tcW w:type="dxa" w:w="1440"/>
          </w:tcPr>
          <w:p>
            <w:r>
              <w:rPr>
                <w:sz w:val="19"/>
              </w:rPr>
              <w:t>Corpus claim outruns corpus reality in a pitch ("five corridors")</w:t>
            </w:r>
          </w:p>
        </w:tc>
        <w:tc>
          <w:tcPr>
            <w:tcW w:type="dxa" w:w="1440"/>
          </w:tcPr>
          <w:p>
            <w:r>
              <w:rPr>
                <w:sz w:val="19"/>
              </w:rPr>
              <w:t>M</w:t>
            </w:r>
          </w:p>
        </w:tc>
        <w:tc>
          <w:tcPr>
            <w:tcW w:type="dxa" w:w="1440"/>
          </w:tcPr>
          <w:p>
            <w:r>
              <w:rPr>
                <w:sz w:val="19"/>
              </w:rPr>
              <w:t>H</w:t>
            </w:r>
          </w:p>
        </w:tc>
        <w:tc>
          <w:tcPr>
            <w:tcW w:type="dxa" w:w="1440"/>
          </w:tcPr>
          <w:p>
            <w:r>
              <w:rPr>
                <w:sz w:val="19"/>
              </w:rPr>
              <w:t>One-corridor rule (Values §3); precision/recall published even when humble</w:t>
            </w:r>
          </w:p>
        </w:tc>
        <w:tc>
          <w:tcPr>
            <w:tcW w:type="dxa" w:w="1440"/>
          </w:tcPr>
          <w:p>
            <w:r>
              <w:rPr>
                <w:sz w:val="19"/>
              </w:rPr>
              <w:t>pitch claims beyond measured corridor → seller correction logged against ACT</w:t>
            </w:r>
          </w:p>
        </w:tc>
      </w:tr>
      <w:tr>
        <w:tc>
          <w:tcPr>
            <w:tcW w:type="dxa" w:w="1440"/>
          </w:tcPr>
          <w:p>
            <w:r>
              <w:rPr>
                <w:sz w:val="19"/>
              </w:rPr>
              <w:t>R8</w:t>
            </w:r>
          </w:p>
        </w:tc>
        <w:tc>
          <w:tcPr>
            <w:tcW w:type="dxa" w:w="1440"/>
          </w:tcPr>
          <w:p>
            <w:r>
              <w:rPr>
                <w:sz w:val="19"/>
              </w:rPr>
              <w:t>Roster burns: named target mishandled in small regulator circle</w:t>
            </w:r>
          </w:p>
        </w:tc>
        <w:tc>
          <w:tcPr>
            <w:tcW w:type="dxa" w:w="1440"/>
          </w:tcPr>
          <w:p>
            <w:r>
              <w:rPr>
                <w:sz w:val="19"/>
              </w:rPr>
              <w:t>L</w:t>
            </w:r>
          </w:p>
        </w:tc>
        <w:tc>
          <w:tcPr>
            <w:tcW w:type="dxa" w:w="1440"/>
          </w:tcPr>
          <w:p>
            <w:r>
              <w:rPr>
                <w:b/>
                <w:sz w:val="19"/>
              </w:rPr>
              <w:t>C</w:t>
            </w:r>
          </w:p>
        </w:tc>
        <w:tc>
          <w:tcPr>
            <w:tcW w:type="dxa" w:w="1440"/>
          </w:tcPr>
          <w:p>
            <w:r>
              <w:rPr>
                <w:sz w:val="19"/>
              </w:rPr>
              <w:t>Policy-grade handling rule; STK hygiene ≥50% wk4; nothing external without epistemic check</w:t>
            </w:r>
          </w:p>
        </w:tc>
        <w:tc>
          <w:tcPr>
            <w:tcW w:type="dxa" w:w="1440"/>
          </w:tcPr>
          <w:p>
            <w:r>
              <w:rPr>
                <w:sz w:val="19"/>
              </w:rPr>
              <w:t>any burn → COO-minute, relationship triage that week</w:t>
            </w:r>
          </w:p>
        </w:tc>
      </w:tr>
      <w:tr>
        <w:tc>
          <w:tcPr>
            <w:tcW w:type="dxa" w:w="1440"/>
          </w:tcPr>
          <w:p>
            <w:r>
              <w:rPr>
                <w:sz w:val="19"/>
              </w:rPr>
              <w:t>R9</w:t>
            </w:r>
          </w:p>
        </w:tc>
        <w:tc>
          <w:tcPr>
            <w:tcW w:type="dxa" w:w="1440"/>
          </w:tcPr>
          <w:p>
            <w:r>
              <w:rPr>
                <w:sz w:val="19"/>
              </w:rPr>
              <w:t>Egypt/VN windows close before we're ready (time-limited cohorts)</w:t>
            </w:r>
          </w:p>
        </w:tc>
        <w:tc>
          <w:tcPr>
            <w:tcW w:type="dxa" w:w="1440"/>
          </w:tcPr>
          <w:p>
            <w:r>
              <w:rPr>
                <w:sz w:val="19"/>
              </w:rPr>
              <w:t>M</w:t>
            </w:r>
          </w:p>
        </w:tc>
        <w:tc>
          <w:tcPr>
            <w:tcW w:type="dxa" w:w="1440"/>
          </w:tcPr>
          <w:p>
            <w:r>
              <w:rPr>
                <w:sz w:val="19"/>
              </w:rPr>
              <w:t>M</w:t>
            </w:r>
          </w:p>
        </w:tc>
        <w:tc>
          <w:tcPr>
            <w:tcW w:type="dxa" w:w="1440"/>
          </w:tcPr>
          <w:p>
            <w:r>
              <w:rPr>
                <w:sz w:val="19"/>
              </w:rPr>
              <w:t>Wave W-3 gated on W-1 reference; bundle pack ready wk7</w:t>
            </w:r>
          </w:p>
        </w:tc>
        <w:tc>
          <w:tcPr>
            <w:tcW w:type="dxa" w:w="1440"/>
          </w:tcPr>
          <w:p>
            <w:r>
              <w:rPr>
                <w:sz w:val="19"/>
              </w:rPr>
              <w:t>window passing without reference → let it pass (discipline &gt; FOMO), next cohort exists</w:t>
            </w:r>
          </w:p>
        </w:tc>
      </w:tr>
      <w:tr>
        <w:tc>
          <w:tcPr>
            <w:tcW w:type="dxa" w:w="1440"/>
          </w:tcPr>
          <w:p>
            <w:r>
              <w:rPr>
                <w:sz w:val="19"/>
              </w:rPr>
              <w:t>R10</w:t>
            </w:r>
          </w:p>
        </w:tc>
        <w:tc>
          <w:tcPr>
            <w:tcW w:type="dxa" w:w="1440"/>
          </w:tcPr>
          <w:p>
            <w:r>
              <w:rPr>
                <w:sz w:val="19"/>
              </w:rPr>
              <w:t>FX/procurement cycles (MY JPA/tender, Swiss years) stall conversion math</w:t>
            </w:r>
          </w:p>
        </w:tc>
        <w:tc>
          <w:tcPr>
            <w:tcW w:type="dxa" w:w="1440"/>
          </w:tcPr>
          <w:p>
            <w:r>
              <w:rPr>
                <w:sz w:val="19"/>
              </w:rPr>
              <w:t>M</w:t>
            </w:r>
          </w:p>
        </w:tc>
        <w:tc>
          <w:tcPr>
            <w:tcW w:type="dxa" w:w="1440"/>
          </w:tcPr>
          <w:p>
            <w:r>
              <w:rPr>
                <w:sz w:val="19"/>
              </w:rPr>
              <w:t>M</w:t>
            </w:r>
          </w:p>
        </w:tc>
        <w:tc>
          <w:tcPr>
            <w:tcW w:type="dxa" w:w="1440"/>
          </w:tcPr>
          <w:p>
            <w:r>
              <w:rPr>
                <w:sz w:val="19"/>
              </w:rPr>
              <w:t>Direct-procurement justification early (strategy playbook); CH = 2027 revenue by design</w:t>
            </w:r>
          </w:p>
        </w:tc>
        <w:tc>
          <w:tcPr>
            <w:tcW w:type="dxa" w:w="1440"/>
          </w:tcPr>
          <w:p>
            <w:r>
              <w:rPr>
                <w:sz w:val="19"/>
              </w:rPr>
              <w:t>renewal-shaped paper missing wk26 → board sees it in the wk26 verdict</w:t>
            </w:r>
          </w:p>
        </w:tc>
      </w:tr>
    </w:tbl>
    <w:p/>
    <w:p>
      <w:pPr>
        <w:pStyle w:val="Heading2"/>
      </w:pPr>
      <w:r>
        <w:t>3. Decisions awaiting Hadri (each: recommendation first, default-if-silent)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Decision</w:t>
            </w:r>
          </w:p>
        </w:tc>
        <w:tc>
          <w:tcPr>
            <w:tcW w:type="dxa" w:w="1728"/>
          </w:tcPr>
          <w:p>
            <w:r>
              <w:rPr>
                <w:b/>
              </w:rPr>
              <w:t>Options</w:t>
            </w:r>
          </w:p>
        </w:tc>
        <w:tc>
          <w:tcPr>
            <w:tcW w:type="dxa" w:w="1728"/>
          </w:tcPr>
          <w:p>
            <w:r>
              <w:rPr>
                <w:b/>
              </w:rPr>
              <w:t>Recommendation</w:t>
            </w:r>
          </w:p>
        </w:tc>
        <w:tc>
          <w:tcPr>
            <w:tcW w:type="dxa" w:w="1728"/>
          </w:tcPr>
          <w:p>
            <w:r>
              <w:rPr>
                <w:b/>
              </w:rPr>
              <w:t>Default if silent</w:t>
            </w:r>
          </w:p>
        </w:tc>
      </w:tr>
      <w:tr>
        <w:tc>
          <w:tcPr>
            <w:tcW w:type="dxa" w:w="1728"/>
          </w:tcPr>
          <w:p>
            <w:r>
              <w:rPr>
                <w:b/>
                <w:sz w:val="19"/>
              </w:rPr>
              <w:t>D-01</w:t>
            </w:r>
          </w:p>
        </w:tc>
        <w:tc>
          <w:tcPr>
            <w:tcW w:type="dxa" w:w="1728"/>
          </w:tcPr>
          <w:p>
            <w:r>
              <w:rPr>
                <w:sz w:val="19"/>
              </w:rPr>
              <w:t>Ratify Vision/Mission (00) as canonical narrative</w:t>
            </w:r>
          </w:p>
        </w:tc>
        <w:tc>
          <w:tcPr>
            <w:tcW w:type="dxa" w:w="1728"/>
          </w:tcPr>
          <w:p>
            <w:r>
              <w:rPr>
                <w:sz w:val="19"/>
              </w:rPr>
              <w:t>approve / amend / reject</w:t>
            </w:r>
          </w:p>
        </w:tc>
        <w:tc>
          <w:tcPr>
            <w:tcW w:type="dxa" w:w="1728"/>
          </w:tcPr>
          <w:p>
            <w:r>
              <w:rPr>
                <w:b/>
                <w:sz w:val="19"/>
              </w:rPr>
              <w:t>Approve as drafted</w:t>
            </w:r>
            <w:r>
              <w:rPr>
                <w:sz w:val="19"/>
              </w:rPr>
              <w:t xml:space="preserve"> (board-deck ready)</w:t>
            </w:r>
          </w:p>
        </w:tc>
        <w:tc>
          <w:tcPr>
            <w:tcW w:type="dxa" w:w="1728"/>
          </w:tcPr>
          <w:p>
            <w:r>
              <w:rPr>
                <w:sz w:val="19"/>
              </w:rPr>
              <w:t>suite executes; board deck uses STRATEGY §11 paragraph instead</w:t>
            </w:r>
          </w:p>
        </w:tc>
      </w:tr>
      <w:tr>
        <w:tc>
          <w:tcPr>
            <w:tcW w:type="dxa" w:w="1728"/>
          </w:tcPr>
          <w:p>
            <w:r>
              <w:rPr>
                <w:b/>
                <w:sz w:val="19"/>
              </w:rPr>
              <w:t>D-02</w:t>
            </w:r>
          </w:p>
        </w:tc>
        <w:tc>
          <w:tcPr>
            <w:tcW w:type="dxa" w:w="1728"/>
          </w:tcPr>
          <w:p>
            <w:r>
              <w:rPr>
                <w:sz w:val="19"/>
              </w:rPr>
              <w:t>Ratify path portfolio: Path 1+2 primary, 3+4+5 supporting, 6 dark</w:t>
            </w:r>
          </w:p>
        </w:tc>
        <w:tc>
          <w:tcPr>
            <w:tcW w:type="dxa" w:w="1728"/>
          </w:tcPr>
          <w:p>
            <w:r>
              <w:rPr>
                <w:sz w:val="19"/>
              </w:rPr>
              <w:t>approve / reshape</w:t>
            </w:r>
          </w:p>
        </w:tc>
        <w:tc>
          <w:tcPr>
            <w:tcW w:type="dxa" w:w="1728"/>
          </w:tcPr>
          <w:p>
            <w:r>
              <w:rPr>
                <w:b/>
                <w:sz w:val="19"/>
              </w:rPr>
              <w:t>Approve</w:t>
            </w:r>
            <w:r>
              <w:rPr>
                <w:sz w:val="19"/>
              </w:rPr>
              <w:t xml:space="preserve"> — matches DEC-20260915-001 + roster logic</w:t>
            </w:r>
          </w:p>
        </w:tc>
        <w:tc>
          <w:tcPr>
            <w:tcW w:type="dxa" w:w="1728"/>
          </w:tcPr>
          <w:p>
            <w:r>
              <w:rPr>
                <w:sz w:val="19"/>
              </w:rPr>
              <w:t>run as proposed; paths only change at gate reviews</w:t>
            </w:r>
          </w:p>
        </w:tc>
      </w:tr>
      <w:tr>
        <w:tc>
          <w:tcPr>
            <w:tcW w:type="dxa" w:w="1728"/>
          </w:tcPr>
          <w:p>
            <w:r>
              <w:rPr>
                <w:b/>
                <w:sz w:val="19"/>
              </w:rPr>
              <w:t>D-03</w:t>
            </w:r>
          </w:p>
        </w:tc>
        <w:tc>
          <w:tcPr>
            <w:tcW w:type="dxa" w:w="1728"/>
          </w:tcPr>
          <w:p>
            <w:r>
              <w:rPr>
                <w:sz w:val="19"/>
              </w:rPr>
              <w:t>Pipeline-runner staffing route</w:t>
            </w:r>
          </w:p>
        </w:tc>
        <w:tc>
          <w:tcPr>
            <w:tcW w:type="dxa" w:w="1728"/>
          </w:tcPr>
          <w:p>
            <w:r>
              <w:rPr>
                <w:sz w:val="19"/>
              </w:rPr>
              <w:t>(a) hire junior BD (b) Aras secondment + commission (c) Faurani practice + MEA contractor</w:t>
            </w:r>
          </w:p>
        </w:tc>
        <w:tc>
          <w:tcPr>
            <w:tcW w:type="dxa" w:w="1728"/>
          </w:tcPr>
          <w:p>
            <w:r>
              <w:rPr>
                <w:b/>
                <w:sz w:val="19"/>
              </w:rPr>
              <w:t>(b) secondment</w:t>
            </w:r>
            <w:r>
              <w:rPr>
                <w:sz w:val="19"/>
              </w:rPr>
              <w:t xml:space="preserve"> — fastest, cash-flat, existing trust</w:t>
            </w:r>
          </w:p>
        </w:tc>
        <w:tc>
          <w:tcPr>
            <w:tcW w:type="dxa" w:w="1728"/>
          </w:tcPr>
          <w:p>
            <w:r>
              <w:rPr>
                <w:sz w:val="19"/>
              </w:rPr>
              <w:t>option (c) partial coverage; W-2 paperwork-only persists</w:t>
            </w:r>
          </w:p>
        </w:tc>
      </w:tr>
      <w:tr>
        <w:tc>
          <w:tcPr>
            <w:tcW w:type="dxa" w:w="1728"/>
          </w:tcPr>
          <w:p>
            <w:r>
              <w:rPr>
                <w:b/>
                <w:sz w:val="19"/>
              </w:rPr>
              <w:t>D-04</w:t>
            </w:r>
          </w:p>
        </w:tc>
        <w:tc>
          <w:tcPr>
            <w:tcW w:type="dxa" w:w="1728"/>
          </w:tcPr>
          <w:p>
            <w:r>
              <w:rPr>
                <w:sz w:val="19"/>
              </w:rPr>
              <w:t>Confirm product-engineer allocation (2 eng + 1 data through wk4)</w:t>
            </w:r>
          </w:p>
        </w:tc>
        <w:tc>
          <w:tcPr>
            <w:tcW w:type="dxa" w:w="1728"/>
          </w:tcPr>
          <w:p>
            <w:r>
              <w:rPr>
                <w:sz w:val="19"/>
              </w:rPr>
              <w:t>confirm / re-scope</w:t>
            </w:r>
          </w:p>
        </w:tc>
        <w:tc>
          <w:tcPr>
            <w:tcW w:type="dxa" w:w="1728"/>
          </w:tcPr>
          <w:p>
            <w:r>
              <w:rPr>
                <w:b/>
                <w:sz w:val="19"/>
              </w:rPr>
              <w:t>Confirm this week</w:t>
            </w:r>
            <w:r>
              <w:rPr>
                <w:sz w:val="19"/>
              </w:rPr>
              <w:t xml:space="preserve"> — it's inside the wk4 gate</w:t>
            </w:r>
          </w:p>
        </w:tc>
        <w:tc>
          <w:tcPr>
            <w:tcW w:type="dxa" w:w="1728"/>
          </w:tcPr>
          <w:p>
            <w:r>
              <w:rPr>
                <w:sz w:val="19"/>
              </w:rPr>
              <w:t>plan assumes confirmed; first gate review will expose it — better to know now</w:t>
            </w:r>
          </w:p>
        </w:tc>
      </w:tr>
      <w:tr>
        <w:tc>
          <w:tcPr>
            <w:tcW w:type="dxa" w:w="1728"/>
          </w:tcPr>
          <w:p>
            <w:r>
              <w:rPr>
                <w:b/>
                <w:sz w:val="19"/>
              </w:rPr>
              <w:t>D-05</w:t>
            </w:r>
          </w:p>
        </w:tc>
        <w:tc>
          <w:tcPr>
            <w:tcW w:type="dxa" w:w="1728"/>
          </w:tcPr>
          <w:p>
            <w:r>
              <w:rPr>
                <w:sz w:val="19"/>
              </w:rPr>
              <w:t>Corpus seed purchase (~USD 5–25k once)</w:t>
            </w:r>
          </w:p>
        </w:tc>
        <w:tc>
          <w:tcPr>
            <w:tcW w:type="dxa" w:w="1728"/>
          </w:tcPr>
          <w:p>
            <w:r>
              <w:rPr>
                <w:sz w:val="19"/>
              </w:rPr>
              <w:t>approve now / hold to wk8</w:t>
            </w:r>
          </w:p>
        </w:tc>
        <w:tc>
          <w:tcPr>
            <w:tcW w:type="dxa" w:w="1728"/>
          </w:tcPr>
          <w:p>
            <w:r>
              <w:rPr>
                <w:b/>
                <w:sz w:val="19"/>
              </w:rPr>
              <w:t>Hold to wk8</w:t>
            </w:r>
            <w:r>
              <w:rPr>
                <w:sz w:val="19"/>
              </w:rPr>
              <w:t xml:space="preserve"> — buy after first pilot labels arrive, better target</w:t>
            </w:r>
          </w:p>
        </w:tc>
        <w:tc>
          <w:tcPr>
            <w:tcW w:type="dxa" w:w="1728"/>
          </w:tcPr>
          <w:p>
            <w:r>
              <w:rPr>
                <w:sz w:val="19"/>
              </w:rPr>
              <w:t>hold (zero-risk default)</w:t>
            </w:r>
          </w:p>
        </w:tc>
      </w:tr>
      <w:tr>
        <w:tc>
          <w:tcPr>
            <w:tcW w:type="dxa" w:w="1728"/>
          </w:tcPr>
          <w:p>
            <w:r>
              <w:rPr>
                <w:b/>
                <w:sz w:val="19"/>
              </w:rPr>
              <w:t>D-06</w:t>
            </w:r>
          </w:p>
        </w:tc>
        <w:tc>
          <w:tcPr>
            <w:tcW w:type="dxa" w:w="1728"/>
          </w:tcPr>
          <w:p>
            <w:r>
              <w:rPr>
                <w:sz w:val="19"/>
              </w:rPr>
              <w:t>Salary band + careers contact for JD posting</w:t>
            </w:r>
          </w:p>
        </w:tc>
        <w:tc>
          <w:tcPr>
            <w:tcW w:type="dxa" w:w="1728"/>
          </w:tcPr>
          <w:p>
            <w:r>
              <w:rPr>
                <w:sz w:val="19"/>
              </w:rPr>
              <w:t>supply</w:t>
            </w:r>
          </w:p>
        </w:tc>
        <w:tc>
          <w:tcPr>
            <w:tcW w:type="dxa" w:w="1728"/>
          </w:tcPr>
          <w:p>
            <w:r>
              <w:rPr>
                <w:sz w:val="19"/>
              </w:rPr>
              <w:t>Supply before wk2 (ACT-002 due 22 Oct)</w:t>
            </w:r>
          </w:p>
        </w:tc>
        <w:tc>
          <w:tcPr>
            <w:tcW w:type="dxa" w:w="1728"/>
          </w:tcPr>
          <w:p>
            <w:r>
              <w:rPr>
                <w:sz w:val="19"/>
              </w:rPr>
              <w:t>JD posts "competitive" band; generic inbox risks sourcing quality</w:t>
            </w:r>
          </w:p>
        </w:tc>
      </w:tr>
      <w:tr>
        <w:tc>
          <w:tcPr>
            <w:tcW w:type="dxa" w:w="1728"/>
          </w:tcPr>
          <w:p>
            <w:r>
              <w:rPr>
                <w:b/>
                <w:sz w:val="19"/>
              </w:rPr>
              <w:t>D-07</w:t>
            </w:r>
          </w:p>
        </w:tc>
        <w:tc>
          <w:tcPr>
            <w:tcW w:type="dxa" w:w="1728"/>
          </w:tcPr>
          <w:p>
            <w:r>
              <w:rPr>
                <w:sz w:val="19"/>
              </w:rPr>
              <w:t>AML hire vs runner sequencing if only one budget slot exists now</w:t>
            </w:r>
          </w:p>
        </w:tc>
        <w:tc>
          <w:tcPr>
            <w:tcW w:type="dxa" w:w="1728"/>
          </w:tcPr>
          <w:p>
            <w:r>
              <w:rPr>
                <w:sz w:val="19"/>
              </w:rPr>
              <w:t>choose</w:t>
            </w:r>
          </w:p>
        </w:tc>
        <w:tc>
          <w:tcPr>
            <w:tcW w:type="dxa" w:w="1728"/>
          </w:tcPr>
          <w:p>
            <w:r>
              <w:rPr>
                <w:b/>
                <w:sz w:val="19"/>
              </w:rPr>
              <w:t>AML hire first</w:t>
            </w:r>
            <w:r>
              <w:rPr>
                <w:sz w:val="19"/>
              </w:rPr>
              <w:t xml:space="preserve"> — lawful pilots gate everything; runner via secondment (D-03b)</w:t>
            </w:r>
          </w:p>
        </w:tc>
        <w:tc>
          <w:tcPr>
            <w:tcW w:type="dxa" w:w="1728"/>
          </w:tcPr>
          <w:p>
            <w:r>
              <w:rPr>
                <w:sz w:val="19"/>
              </w:rPr>
              <w:t>AML first</w:t>
            </w:r>
          </w:p>
        </w:tc>
      </w:tr>
    </w:tbl>
    <w:p/>
    <w:p>
      <w:pPr>
        <w:pStyle w:val="Heading2"/>
      </w:pPr>
      <w:r>
        <w:t>4. Assumptions &amp; epistemic flags (re-verify before external use)</w:t>
      </w:r>
    </w:p>
    <w:p>
      <w:pPr>
        <w:pStyle w:val="ListNumber"/>
      </w:pPr>
      <w:r>
        <w:rPr>
          <w:rFonts w:ascii="Consolas" w:hAnsi="Consolas"/>
          <w:sz w:val="19"/>
        </w:rPr>
        <w:t>[ASSUMPTION]</w:t>
      </w:r>
      <w:r>
        <w:t xml:space="preserve"> Two product engineers + one data person are allocable through wk4 (inside RSK-20261006-001; D-04 forces the check).</w:t>
      </w:r>
    </w:p>
    <w:p>
      <w:pPr>
        <w:pStyle w:val="ListNumber"/>
      </w:pPr>
      <w:r>
        <w:rPr>
          <w:rFonts w:ascii="Consolas" w:hAnsi="Consolas"/>
          <w:sz w:val="19"/>
        </w:rPr>
        <w:t>[SOURCE_ASSERTION]</w:t>
      </w:r>
      <w:r>
        <w:t xml:space="preserve"> Regulatory triggers (SCA first federal licence to Bybit; Paribu–CoinMENA ≤$240M; RAKBANK AED stablecoin AIP; Egypt FRA first approvals; VN pilot-licence track) — news-corroborated 2026-10-06/08; </w:t>
      </w:r>
      <w:r>
        <w:rPr>
          <w:b/>
        </w:rPr>
        <w:t>re-verify anything older than 30 days before it appears in a pitch</w:t>
      </w:r>
      <w:r>
        <w:t>.</w:t>
      </w:r>
    </w:p>
    <w:p>
      <w:pPr>
        <w:pStyle w:val="ListNumber"/>
      </w:pPr>
      <w:r>
        <w:rPr>
          <w:rFonts w:ascii="Consolas" w:hAnsi="Consolas"/>
          <w:sz w:val="19"/>
        </w:rPr>
        <w:t>[EST]</w:t>
      </w:r>
      <w:r>
        <w:t xml:space="preserve"> All RM/USD bands (travel, ACV, channel margin, corpus seed, salary) are planning-grade; Aras finance validates P0 envelope at first gate review.</w:t>
      </w:r>
    </w:p>
    <w:p>
      <w:pPr>
        <w:pStyle w:val="ListNumber"/>
      </w:pPr>
      <w:r>
        <w:rPr>
          <w:rFonts w:ascii="Consolas" w:hAnsi="Consolas"/>
          <w:sz w:val="19"/>
        </w:rPr>
        <w:t>[INFERENCE]</w:t>
      </w:r>
      <w:r>
        <w:t xml:space="preserve"> Wave gating, one-corridor discipline, attach-rate targets and inbound-share targets are derived judgments, not measured facts.</w:t>
      </w:r>
    </w:p>
    <w:p>
      <w:pPr>
        <w:pStyle w:val="ListNumber"/>
      </w:pPr>
      <w:r>
        <w:rPr>
          <w:rFonts w:ascii="Consolas" w:hAnsi="Consolas"/>
          <w:sz w:val="19"/>
        </w:rPr>
        <w:t>[UNKNOWN]</w:t>
      </w:r>
      <w:r>
        <w:t xml:space="preserve"> JSJK briefing date, addressee rank (Insp vs ASP), and whether BNM will host a sandbox slot — all flagged where they block; none block suite adoption.</w:t>
      </w:r>
    </w:p>
    <w:p>
      <w:pPr>
        <w:pStyle w:val="ListNumber"/>
      </w:pPr>
      <w:r>
        <w:rPr>
          <w:rFonts w:ascii="Consolas" w:hAnsi="Consolas"/>
          <w:sz w:val="19"/>
        </w:rPr>
        <w:t>MERGE queue note:</w:t>
      </w:r>
      <w:r>
        <w:t xml:space="preserve"> this suite and all ChainSentry OPP-family records sit in register-proposal state until Hadri's MERGE; the repo is the working source of truth meanwhile.</w:t>
      </w:r>
    </w:p>
    <w:p>
      <w:pPr>
        <w:pStyle w:val="Heading2"/>
      </w:pPr>
      <w:r>
        <w:t>5. Friday KPI log (append below, one line per week per 02 §6)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Week</w:t>
            </w:r>
          </w:p>
        </w:tc>
        <w:tc>
          <w:tcPr>
            <w:tcW w:type="dxa" w:w="1440"/>
          </w:tcPr>
          <w:p>
            <w:r>
              <w:rPr>
                <w:b/>
              </w:rPr>
              <w:t>L1 (signed/named/listed)</w:t>
            </w:r>
          </w:p>
        </w:tc>
        <w:tc>
          <w:tcPr>
            <w:tcW w:type="dxa" w:w="1440"/>
          </w:tcPr>
          <w:p>
            <w:r>
              <w:rPr>
                <w:b/>
              </w:rPr>
              <w:t>L2 (conv·pilots·coverage)</w:t>
            </w:r>
          </w:p>
        </w:tc>
        <w:tc>
          <w:tcPr>
            <w:tcW w:type="dxa" w:w="1440"/>
          </w:tcPr>
          <w:p>
            <w:r>
              <w:rPr>
                <w:b/>
              </w:rPr>
              <w:t>L3 (gates R/Y/G)</w:t>
            </w:r>
          </w:p>
        </w:tc>
        <w:tc>
          <w:tcPr>
            <w:tcW w:type="dxa" w:w="1440"/>
          </w:tcPr>
          <w:p>
            <w:r>
              <w:rPr>
                <w:b/>
              </w:rPr>
              <w:t>L4 (seats·cash)</w:t>
            </w:r>
          </w:p>
        </w:tc>
        <w:tc>
          <w:tcPr>
            <w:tcW w:type="dxa" w:w="1440"/>
          </w:tcPr>
          <w:p>
            <w:r>
              <w:rPr>
                <w:b/>
              </w:rPr>
              <w:t>Note</w:t>
            </w:r>
          </w:p>
        </w:tc>
      </w:tr>
      <w:tr>
        <w:tc>
          <w:tcPr>
            <w:tcW w:type="dxa" w:w="1440"/>
          </w:tcPr>
          <w:p>
            <w:r>
              <w:rPr>
                <w:sz w:val="19"/>
              </w:rPr>
              <w:t>wk1</w:t>
            </w:r>
          </w:p>
        </w:tc>
        <w:tc>
          <w:tcPr>
            <w:tcW w:type="dxa" w:w="1440"/>
          </w:tcPr>
          <w:p>
            <w:r>
              <w:rPr>
                <w:sz w:val="19"/>
              </w:rPr>
              <w:t>0 / 0 / 0</w:t>
            </w:r>
          </w:p>
        </w:tc>
        <w:tc>
          <w:tcPr>
            <w:tcW w:type="dxa" w:w="1440"/>
          </w:tcPr>
          <w:p>
            <w:r>
              <w:rPr>
                <w:sz w:val="19"/>
              </w:rPr>
              <w:t>JSJK reply due; coverage TBD</w:t>
            </w:r>
          </w:p>
        </w:tc>
        <w:tc>
          <w:tcPr>
            <w:tcW w:type="dxa" w:w="1440"/>
          </w:tcPr>
          <w:p>
            <w:r>
              <w:rPr>
                <w:sz w:val="19"/>
              </w:rPr>
              <w:t>G2 sprint</w:t>
            </w:r>
          </w:p>
        </w:tc>
        <w:tc>
          <w:tcPr>
            <w:tcW w:type="dxa" w:w="1440"/>
          </w:tcPr>
          <w:p>
            <w:r>
              <w:rPr>
                <w:sz w:val="19"/>
              </w:rPr>
              <w:t>JD posted</w:t>
            </w:r>
          </w:p>
        </w:tc>
        <w:tc>
          <w:tcPr>
            <w:tcW w:type="dxa" w:w="1440"/>
          </w:tcPr>
          <w:p>
            <w:r>
              <w:rPr>
                <w:i/>
                <w:sz w:val="19"/>
              </w:rPr>
              <w:t>first real entry lands fri 10 Oct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