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 of Financial Crime Compliance — ChainSentry</w:t>
      </w:r>
    </w:p>
    <w:p>
      <w:r>
        <w:rPr>
          <w:color w:val="555F6B"/>
        </w:rPr>
        <w:t>Aras Integrasi Sdn Bhd · v2 · 15-Oct-2026 · KL/hybrid · full-time or advisor retainer</w:t>
      </w:r>
    </w:p>
    <w:p>
      <w:r>
        <w:rPr>
          <w:i/>
          <w:sz w:val="19"/>
        </w:rPr>
        <w:t>v2: crypto-competence ramp (T0 gate) + multi-jurisdiction scope + corridor design partners — engineered against live competitor hiring data (Elliptic/TRM, studied 15-Oct).</w:t>
      </w:r>
    </w:p>
    <w:p>
      <w:pPr>
        <w:pStyle w:val="Heading1"/>
      </w:pPr>
      <w:r>
        <w:t>Mission</w:t>
      </w:r>
    </w:p>
    <w:p>
      <w:r>
        <w:t>Make ChainSentry the blockchain-tracing product that a regulated institution — a Malaysian bank, DAX or FIU first, then any corridor jurisdiction (SG/TH/VN/ID/AE/TR/EG) — can defend choosing: to its board, to its regulator, and in court.</w:t>
      </w:r>
    </w:p>
    <w:p>
      <w:pPr>
        <w:pStyle w:val="Heading1"/>
      </w:pPr>
      <w:r>
        <w:t>What he owns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 Regulatory → product (multi-juris)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 beachhead: BNM AML/CFT, SC RM Guidelines 2025, PMABA, AMLATFPUAA. Corridor: FATF R.15/R.20+Travel Rule, MAS PSN01/02 (SG), VARA/AMLC (UAE), AMLO (TH), PPATK (ID), MiCA horizon. Standing horizon-scan practice.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Sets trust-backlog priorities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 Evidentiary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Chain-of-custody + court-grade export: TXID verification, STR field-mapping (FIED first, corridor FIUs next), order-response packs. Defines "good enough for the judge" incl. chain evidence.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VETO on evidentiary claims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 Trust gatekeeper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sales claim, deck, webinar reviewed per jurisdiction against product truth and lawful assertion.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VETO on claims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P4 Design partners (MY → corridor)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2–3 MY partners (T1 roster + his network), then 1–2 corridor (MEA roster 72 targets). Pilot-compliance playbook → named references. Network-activation mandate, no cold quota.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Owns partner bar (w/ Aras sales)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P5 Regulator &amp; industry (regional)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BNM/SC engagement as compliance peer; whitepaper multi-jurisdiction editions under his name; appearances beyond MY as corridor pilots engage.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ChainSentry compliance voice</w:t>
            </w:r>
          </w:p>
        </w:tc>
      </w:tr>
    </w:tbl>
    <w:p>
      <w:pPr>
        <w:pStyle w:val="Heading1"/>
      </w:pPr>
      <w:r>
        <w:t>Engineered success (timeboxed artifacts)</w:t>
      </w:r>
    </w:p>
    <w:p>
      <w:pPr>
        <w:pStyle w:val="ListBullet"/>
        <w:spacing w:after="80"/>
      </w:pPr>
      <w:r>
        <w:t>Day 0–30 — T0 Chain-fluency boot: trace 5 live cases; day-30 gate = briefs one VA off-ramp typology unscripted. T1 Trust Requirements Spec v1 (MY + first corridor jurisdiction) signed by COO. T2 claims audit of all collateral.</w:t>
      </w:r>
    </w:p>
    <w:p>
      <w:pPr>
        <w:pStyle w:val="ListBullet"/>
        <w:spacing w:after="80"/>
      </w:pPr>
      <w:r>
        <w:t>Day 31–90 — T3 STR-ready case-file workflow (FIED mapping + AMLATFPUAA §28 pack) incl. crypto templates: exchange off-ramp, mixer-touch, mule fan-out. T4 two MY design-partner workshops, ≥3 engaged; first corridor partner opened.</w:t>
      </w:r>
    </w:p>
    <w:p>
      <w:pPr>
        <w:pStyle w:val="ListBullet"/>
        <w:spacing w:after="80"/>
      </w:pPr>
      <w:r>
        <w:t>Month 4–12 — 2 MY pilots w/ named-reference rights + ≥1 corridor pilot. Whitepaper (MY v1 + corridor supplement). ≥2 stage appearances (≥1 outside MY). ≥1 documented BNM/SC engagement.</w:t>
      </w:r>
    </w:p>
    <w:p>
      <w:pPr>
        <w:pStyle w:val="ListBullet"/>
        <w:spacing w:after="80"/>
      </w:pPr>
      <w:r>
        <w:t>Terminal metric — a procurement checklist item where ChainSentry answers a regulator question better than the incumbent foreign suite — and the same answer travels to the next jurisdiction.</w:t>
      </w:r>
    </w:p>
    <w:p>
      <w:pPr>
        <w:pStyle w:val="Heading1"/>
      </w:pPr>
      <w:r>
        <w:t>Crypto question, answered honestly</w:t>
      </w:r>
    </w:p>
    <w:p>
      <w:r>
        <w:t>His resume shows zero crypto/VA exposure — stated, not hidden. Category norm: Elliptic requires only "working knowledge of crypto and blockchain" for its trust/advisory seats; chain depth lives in a separate investigator bench (ours = engineering + intelligence lane). The JD engineers closure via the T0 gate with a hard day-30 test. His transferables are what buyers test on: sanctions screening (UN/OFAC/MOHA), STR craft, order response, court testimony.</w:t>
      </w:r>
    </w:p>
    <w:p>
      <w:pPr>
        <w:pStyle w:val="Heading1"/>
      </w:pPr>
      <w:r>
        <w:t>Engagement</w:t>
      </w:r>
    </w:p>
    <w:p>
      <w:r>
        <w:t>A) Full-time — when off current employment; band indicative RM15–20k/mo + KPI bonus (owner to confirm).</w:t>
      </w:r>
    </w:p>
    <w:p>
      <w:r>
        <w:t>B) Senior Advisor retainer, 2 days/wk — P1–P3 immediately; P4–P5 after transition; COI note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