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Description — AML/CFT Compliance Specialist, ChainSentry (CS-AML-001, v2.0)</w:t>
      </w:r>
    </w:p>
    <w:p>
      <w:r>
        <w:t>Position ID: CS-AML-001</w:t>
      </w:r>
    </w:p>
    <w:p>
      <w:r>
        <w:t>Company: Aras Integrasi Sdn Bhd — ChainSentry Product Division</w:t>
      </w:r>
    </w:p>
    <w:p>
      <w:r>
        <w:t>Department: Product &amp; Commercial (ChainSentry)</w:t>
      </w:r>
    </w:p>
    <w:p>
      <w:r>
        <w:t>Reports to: Solutions Architect / Product Lead, ChainSentry — dotted line to Chief Operating Officer for contractual and commercial matters</w:t>
      </w:r>
    </w:p>
    <w:p>
      <w:r>
        <w:t>Direct reports: None at appointment; owns contractor/junior-analyst support within year one</w:t>
      </w:r>
    </w:p>
    <w:p>
      <w:r>
        <w:t>Grade: Senior Executive / Assistant Manager, commensurate with 4–8 years relevant experience</w:t>
      </w:r>
    </w:p>
    <w:p>
      <w:r>
        <w:t>Location: Kuala Lumpur, Malaysia (hybrid working policy)</w:t>
      </w:r>
    </w:p>
    <w:p>
      <w:r>
        <w:t>Travel: Approximately 15–20% — Ho Chi Minh City, Bangkok, Dubai; occasionally Manama, Istanbul, Zürich</w:t>
      </w:r>
    </w:p>
    <w:p>
      <w:r>
        <w:t>Employment type: Full-time, permanent. Probationary period of three months with structured objectives (Section 5)</w:t>
      </w:r>
    </w:p>
    <w:p>
      <w:r>
        <w:t>Salary &amp; benefits: Competitive band aligned to Malaysian financial-crime market norms; band confirmed by COO before posting. Includes medical coverage, travel allowance, funded certification support (CAMS/ICA renewals), professional-body membership.</w:t>
      </w:r>
    </w:p>
    <w:p>
      <w:r>
        <w:t>Version 2.0 — owner: Hadri (COO) — supersedes v1.0 (strategy/JD-AML-CFT-SPECIALIST.md, 2026-10-08).</w:t>
      </w:r>
    </w:p>
    <w:p>
      <w:pPr>
        <w:pStyle w:val="Heading1"/>
      </w:pPr>
      <w:r>
        <w:t>1. About Us</w:t>
      </w:r>
    </w:p>
    <w:p>
      <w:r>
        <w:t>Aras Integrasi Sdn Bhd is a Malaysian technology and security integrator with an established government and regulated-industry client base, including national security-agency deployments. ChainSentry is the company's sovereign blockchain-tracing and E-KYC product line: jurisdiction-first blockchain forensics for governments, financial-intelligence units (FIUs), banks and licensed virtual-asset service providers that US-based cloud vendors price out, cannot serve due to data-residency or sanctions optics, or leave blind on Gulf–Southeast Asia–BRICS correspondent corridors.</w:t>
      </w:r>
    </w:p>
    <w:p>
      <w:r>
        <w:t>Three standards define the product and set the bar this role upholds: sovereign deployment (the customer's cases never leave the customer's jurisdiction, auditable on-prem or jurisdiction-locked hosting); corridor depth (measurable, sourced attribution on the USDT/TRON Gulf-to-SEA off-ramp graph the incumbents underlabel); and auditability (detection methodology, label provenance and per-corridor precision/recall published, not proprietary — every label defensible in the customer's court). ChainSentry is assembling a design-partner cohort of ~120 candidate institutions across Malaysia, Vietnam, Thailand, the Philippines, Indonesia, Singapore, the UAE, Bahrain, Saudi Arabia, Qatar, Kuwait, Oman, Jordan, Turkey, Egypt, Lebanon, Morocco and Switzerland. This role exists because a compliance-led go-to-market fails on compliance friction — and that friction is a discipline this company intends to carry in a named seat, not informally.</w:t>
      </w:r>
    </w:p>
    <w:p>
      <w:pPr>
        <w:pStyle w:val="Heading1"/>
      </w:pPr>
      <w:r>
        <w:t>2. About the Role</w:t>
      </w:r>
    </w:p>
    <w:p>
      <w:r>
        <w:t>You will serve as Aras Integrasi's principal decision-maker on AML/CFT matters for the ChainSentry program — the technical-compliance counterpart to central banks, FIUs and police financial-crime units across three continents, and the internal authority that makes every pilot lawful, every corpus label defensible, and every court-grade report forwardable without editing.</w:t>
      </w:r>
    </w:p>
    <w:p>
      <w:r>
        <w:t>The mandate is a named pair: (1) own the compliance posture of the alpha/design-partner program — pilot contracts and data-governance terms, jurisdictional lawfulness, sanctions/watchlist integrity of the attribution corpus; (2) own the company's written presence before regulators and supervisors — supervisory-grade papers, consultation responses, published methodology. A practitioner seat with program-ownership weight: hands-on casework and drafting in year one, first-line analyst leadership as the cohort scales. This role does not replace sales capacity; it makes sales compliant and pilots defensible, and the distinction is reflected in every objective below.</w:t>
      </w:r>
    </w:p>
    <w:p>
      <w:pPr>
        <w:pStyle w:val="Heading1"/>
      </w:pPr>
      <w:r>
        <w:t>3. Key Responsibilities</w:t>
      </w:r>
    </w:p>
    <w:p>
      <w:pPr>
        <w:pStyle w:val="Heading1"/>
      </w:pPr>
      <w:r>
        <w:t>Design-partner program governance</w:t>
      </w:r>
    </w:p>
    <w:p>
      <w:pPr>
        <w:pStyle w:val="ListBullet"/>
      </w:pPr>
      <w:r>
        <w:t>Draft, negotiate and administer the design-partner agreement suite: 90-day pilot term sheet, written-reference clauses, sanitised case-contribution terms, and the **data-rights clause** that treats a pilot's labelled dispositions as paid consideration.</w:t>
      </w:r>
    </w:p>
    <w:p>
      <w:pPr>
        <w:pStyle w:val="ListBullet"/>
      </w:pPr>
      <w:r>
        <w:t>Maintain the pilot compliance matrix: legal basis, cross-border data categories, hosting location, retention schedule, destruction/return obligations — per active pilot.</w:t>
      </w:r>
    </w:p>
    <w:p>
      <w:pPr>
        <w:pStyle w:val="ListBullet"/>
      </w:pPr>
      <w:r>
        <w:t>Pre-empt jurisdiction blockers: Swiss banking-secrecy and data-localisation handling; UAE federal + VARA/SCA data rules; Malaysian PDPA and AMLA 2001 handling for law-enforcement and reporting-institution data; Vietnamese and Egyptian pilot-licence documentation.</w:t>
      </w:r>
    </w:p>
    <w:p>
      <w:pPr>
        <w:pStyle w:val="ListBullet"/>
      </w:pPr>
      <w:r>
        <w:t>Run structured compliance review before each pilot goes live; certify what corpus material lawfully returns to the shared corpus, sanitised to what standard, under which clause.</w:t>
      </w:r>
    </w:p>
    <w:p>
      <w:pPr>
        <w:pStyle w:val="Heading1"/>
      </w:pPr>
      <w:r>
        <w:t>Regulatory, FIU and law-enforcement engagement</w:t>
      </w:r>
    </w:p>
    <w:p>
      <w:pPr>
        <w:pStyle w:val="ListBullet"/>
      </w:pPr>
      <w:r>
        <w:t>Act as technical-compliance counterpart to Bank Negara Malaysia (Financial Integrity/Payments), Securities Commission Malaysia, VARA (Dubai), SCA (UAE federal), UAE FIU, Bahrain CBB, Turkey's MASAK and SPK, Egypt's FRA and FIU, and Swiss FIU-class bodies.</w:t>
      </w:r>
    </w:p>
    <w:p>
      <w:pPr>
        <w:pStyle w:val="ListBullet"/>
      </w:pPr>
      <w:r>
        <w:t>Author supervisory-grade artefacts: discussion papers, co-authored whitepapers, public-consultation responses arguing proportionate surveillance standards, baseline guidance such as "AML/CFT expectations for a newly licensed digital-asset exchange."</w:t>
      </w:r>
    </w:p>
    <w:p>
      <w:pPr>
        <w:pStyle w:val="ListBullet"/>
      </w:pPr>
      <w:r>
        <w:t>Prepare and co-present capability briefings to investigator audiences — methodology and recorded public-data output as the standard; live demonstration only when the import pathway is demonstrable.</w:t>
      </w:r>
    </w:p>
    <w:p>
      <w:pPr>
        <w:pStyle w:val="ListBullet"/>
      </w:pPr>
      <w:r>
        <w:t>Support MENAFATF/FATF-adjacent positioning: Recommendation 15, Travel Rule obligations and implementation practice in corridor states on the roster.</w:t>
      </w:r>
    </w:p>
    <w:p>
      <w:pPr>
        <w:pStyle w:val="Heading1"/>
      </w:pPr>
      <w:r>
        <w:t>Attribution-corpus and sanctions integrity</w:t>
      </w:r>
    </w:p>
    <w:p>
      <w:pPr>
        <w:pStyle w:val="ListBullet"/>
      </w:pPr>
      <w:r>
        <w:t>Own the sanctioned-address and watchlist labelling pipeline — OFAC, EU, UK (HMG/OFSI), UN lists, court-document addresses, ransomware payment trackers, takedown archives — converted into deterministic seed labels, versioned, dated, source-cited.</w:t>
      </w:r>
    </w:p>
    <w:p>
      <w:pPr>
        <w:pStyle w:val="ListBullet"/>
      </w:pPr>
      <w:r>
        <w:t>Define label acceptance criteria; run QA on machine-generated clusters: no label enters production without a provenance chain that survives "where did this attribution come from?"</w:t>
      </w:r>
    </w:p>
    <w:p>
      <w:pPr>
        <w:pStyle w:val="ListBullet"/>
      </w:pPr>
      <w:r>
        <w:t>Perform sanctions screening on corridor clusters and settlement rails for design partners on request, with documented false-positive handling and escalation.</w:t>
      </w:r>
    </w:p>
    <w:p>
      <w:pPr>
        <w:pStyle w:val="ListBullet"/>
      </w:pPr>
      <w:r>
        <w:t>Publish precision/recall methodology per heuristic, per chain, per corridor, computed on the design cohort's own labelled feedback — auditable-but-young is a differentiator only if its credibility holds, and this role owns that credibility.</w:t>
      </w:r>
    </w:p>
    <w:p>
      <w:pPr>
        <w:pStyle w:val="Heading1"/>
      </w:pPr>
      <w:r>
        <w:t>Casework and court-grade reporting</w:t>
      </w:r>
    </w:p>
    <w:p>
      <w:pPr>
        <w:pStyle w:val="ListBullet"/>
      </w:pPr>
      <w:r>
        <w:t>Conduct blockchain tracing casework during pilots: mule-network mapping, scam-centre fund-flow reconstruction, off-ramp identification, mixer and peel-chain handling, cross-chain bridge hops.</w:t>
      </w:r>
    </w:p>
    <w:p>
      <w:pPr>
        <w:pStyle w:val="ListBullet"/>
      </w:pPr>
      <w:r>
        <w:t>Produce tracing reports at brief and court grade — MY, UAE, CH flavours — with methodology statement, cited evidence, limitations, reproducibility appendix, and a plain-language executive summary an investigator can forward unedited.</w:t>
      </w:r>
    </w:p>
    <w:p>
      <w:pPr>
        <w:pStyle w:val="ListBullet"/>
      </w:pPr>
      <w:r>
        <w:t>Support law-enforcement design partners through internal processes (for example Malaysian investigation-paper support on jointly agreed cases) within agreed data boundaries; build the report template library from the first three real cases.</w:t>
      </w:r>
    </w:p>
    <w:p>
      <w:pPr>
        <w:pStyle w:val="Heading1"/>
      </w:pPr>
      <w:r>
        <w:t>Commercial and bid support</w:t>
      </w:r>
    </w:p>
    <w:p>
      <w:pPr>
        <w:pStyle w:val="ListBullet"/>
      </w:pPr>
      <w:r>
        <w:t>Serve as named AML/CFT subject-matter expert on RFP/tender responses and supplier due-diligence questionnaires; own the reusable compliance-answers library.</w:t>
      </w:r>
    </w:p>
    <w:p>
      <w:pPr>
        <w:pStyle w:val="ListBullet"/>
      </w:pPr>
      <w:r>
        <w:t>Review prospective customers' AML policies, Travel Rule posture and tooling as the diagnostic hook of "day-one AML" bundles for newly licensed VASPs (Vietnam pilot cohort, Egypt first-approvals cohort).</w:t>
      </w:r>
    </w:p>
    <w:p>
      <w:pPr>
        <w:pStyle w:val="ListBullet"/>
      </w:pPr>
      <w:r>
        <w:t>Support pricing conversations on compliance substance — what a proportionate licence covers, what an address-band includes, why seat-based incumbent pricing misaligns for supervised SMBs.</w:t>
      </w:r>
    </w:p>
    <w:p>
      <w:pPr>
        <w:pStyle w:val="ListBullet"/>
      </w:pPr>
      <w:r>
        <w:t>Deliver methodology workshops and investigator training during pilots; cohort competence is a conversion driver.</w:t>
      </w:r>
    </w:p>
    <w:p>
      <w:pPr>
        <w:pStyle w:val="Heading1"/>
      </w:pPr>
      <w:r>
        <w:t>Product feedback</w:t>
      </w:r>
    </w:p>
    <w:p>
      <w:pPr>
        <w:pStyle w:val="ListBullet"/>
      </w:pPr>
      <w:r>
        <w:t>Convert pilot friction into product backlog: data-handling gaps, report-format gaps, audit-log requirements, jurisdiction features enter the sprint plan through this seat.</w:t>
      </w:r>
    </w:p>
    <w:p>
      <w:pPr>
        <w:pStyle w:val="ListBullet"/>
      </w:pPr>
      <w:r>
        <w:t>Sit in weekly corpus and pilot reviews with standing veto language on unlawful data movement — a recommendation this role makes, engineering is required to answer.</w:t>
      </w:r>
    </w:p>
    <w:p>
      <w:pPr>
        <w:pStyle w:val="Heading1"/>
      </w:pPr>
      <w:r>
        <w:t>4. Authority and Decision Rights</w:t>
      </w:r>
    </w:p>
    <w:p>
      <w:pPr>
        <w:pStyle w:val="ListBullet"/>
      </w:pPr>
      <w:r>
        <w:t>**Recommend-block authority** on any pilot whose data handling cannot be made lawful in the customer's jurisdiction; escalation to COO within 24 hours, recommendation recorded.</w:t>
      </w:r>
    </w:p>
    <w:p>
      <w:pPr>
        <w:pStyle w:val="ListBullet"/>
      </w:pPr>
      <w:r>
        <w:t>**Acceptance authority** on corpus labels and sanitisation standards for returning pilot data.</w:t>
      </w:r>
    </w:p>
    <w:p>
      <w:pPr>
        <w:pStyle w:val="ListBullet"/>
      </w:pPr>
      <w:r>
        <w:t>**Template authority** on the standard data-rights annex within COO-agreed parameters; material deviations route to legal review.</w:t>
      </w:r>
    </w:p>
    <w:p>
      <w:pPr>
        <w:pStyle w:val="ListBullet"/>
      </w:pPr>
      <w:r>
        <w:t>**Named SME signature** on compliance questionnaires and methodology publications; product-lead countersignature on anything contractual.</w:t>
      </w:r>
    </w:p>
    <w:p>
      <w:pPr>
        <w:pStyle w:val="Heading1"/>
      </w:pPr>
      <w:r>
        <w:t>5. Success in the First Twelve Months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 30</w:t>
            </w:r>
          </w:p>
        </w:tc>
        <w:tc>
          <w:tcPr>
            <w:tcW w:type="dxa" w:w="4320"/>
          </w:tcPr>
          <w:p>
            <w:r>
              <w:t>Product gates and constraints learned (appliance deployment, import pathway, report generation, corpus versioning); jurisdictional legal map for the 15 seed markets with named blockers, escalated in writing</w:t>
            </w:r>
          </w:p>
        </w:tc>
      </w:tr>
      <w:tr>
        <w:tc>
          <w:tcPr>
            <w:tcW w:type="dxa" w:w="4320"/>
          </w:tcPr>
          <w:p>
            <w:r>
              <w:t>Day 90</w:t>
            </w:r>
          </w:p>
        </w:tc>
        <w:tc>
          <w:tcPr>
            <w:tcW w:type="dxa" w:w="4320"/>
          </w:tcPr>
          <w:p>
            <w:r>
              <w:t>Agreement suite + data-rights annex + compliance matrix complete and in use (100% of signed pilots on template); sanctions/watchlist labelling pipeline v1 operational — weekly refresh, &lt;48h from list publication; first MY court-grade report accepted by a design partner for internal use</w:t>
            </w:r>
          </w:p>
        </w:tc>
      </w:tr>
      <w:tr>
        <w:tc>
          <w:tcPr>
            <w:tcW w:type="dxa" w:w="4320"/>
          </w:tcPr>
          <w:p>
            <w:r>
              <w:t>Month 6</w:t>
            </w:r>
          </w:p>
        </w:tc>
        <w:tc>
          <w:tcPr>
            <w:tcW w:type="dxa" w:w="4320"/>
          </w:tcPr>
          <w:p>
            <w:r>
              <w:t>First public artefact shipped (consultation response or methodology section, named author); first pilot training workshop delivered; compliance register + 90-day review presented to COO with two-quarter resourcing view</w:t>
            </w:r>
          </w:p>
        </w:tc>
      </w:tr>
      <w:tr>
        <w:tc>
          <w:tcPr>
            <w:tcW w:type="dxa" w:w="4320"/>
          </w:tcPr>
          <w:p>
            <w:r>
              <w:t>Month 12</w:t>
            </w:r>
          </w:p>
        </w:tc>
        <w:tc>
          <w:tcPr>
            <w:tcW w:type="dxa" w:w="4320"/>
          </w:tcPr>
          <w:p>
            <w:r>
              <w:t>≥8 design partners holding active compliant pilots, zero unresolved compliance findings; label-provenance QA at 100% of production corpus; precision/recall methodology published for ≥1 corridor, externally defensible; RFP/DD turnaround ≤5 working days; ≥2 customer-named written references enabled (program gate: 1 government + 1 VASP); zero compliance incidents, near-miss reporting culture live</w:t>
            </w:r>
          </w:p>
        </w:tc>
      </w:tr>
    </w:tbl>
    <w:p>
      <w:pPr>
        <w:pStyle w:val="Heading1"/>
      </w:pPr>
      <w:r>
        <w:t>6. About You</w:t>
      </w:r>
    </w:p>
    <w:p>
      <w:r>
        <w:t>Required:</w:t>
      </w:r>
    </w:p>
    <w:p>
      <w:pPr>
        <w:pStyle w:val="ListBullet"/>
      </w:pPr>
      <w:r>
        <w:t>4–8 years in AML/CFT, financial-crime compliance or financial-crime investigations, of which ≥2 years hands-on with blockchain/digital-asset crime — typologies, on-chain tracing, exchange risk monitoring, Travel Rule operations.</w:t>
      </w:r>
    </w:p>
    <w:p>
      <w:pPr>
        <w:pStyle w:val="ListBullet"/>
      </w:pPr>
      <w:r>
        <w:t>Perspective earned on the buy side or the enforcement side: VASP compliance function, bank AML/transaction-monitoring unit, FIU analyst, law-enforcement financial-crime analyst, or forensic/consultancy crypto-investigations practice. Vendor pre-sales alone does not satisfy this.</w:t>
      </w:r>
    </w:p>
    <w:p>
      <w:pPr>
        <w:pStyle w:val="ListBullet"/>
      </w:pPr>
      <w:r>
        <w:t>Working fluency in FATF standards as applied to virtual assets (Recommendation 15, Travel Rule/IVMS101), plus demonstrated working knowledge of at least one of: Malaysian AMLA 2001 + BNM AML/CFT policy documents + SC digital-asset guidelines; UAE federal AML/CFT + VARA or SCA rulebook; Turkish Law 7518 + MASAK secondary regulation; Swiss GATA/AMLO + SRO (VQF-class) practice; Egyptian Law 162/2023 + FRA licensing regulations.</w:t>
      </w:r>
    </w:p>
    <w:p>
      <w:pPr>
        <w:pStyle w:val="ListBullet"/>
      </w:pPr>
      <w:r>
        <w:t>CAMS active, or committed within 12 months with employer-supported study. CFCS, ICA, CICAM or equivalent an advantage.</w:t>
      </w:r>
    </w:p>
    <w:p>
      <w:pPr>
        <w:pStyle w:val="ListBullet"/>
      </w:pPr>
      <w:r>
        <w:t>Regulatory-grade English prose — the role submits public consultation responses and publishes methodology; writing sample required at shortlist.</w:t>
      </w:r>
    </w:p>
    <w:p>
      <w:pPr>
        <w:pStyle w:val="ListBullet"/>
      </w:pPr>
      <w:r>
        <w:t>Able to follow USDT-on-TRON through peel chains, peel-and-return patterns, mixer entry and bridge hops using public explorers and clustering tooling without assistance. No production code; never needs tracing done for you.</w:t>
      </w:r>
    </w:p>
    <w:p>
      <w:pPr>
        <w:pStyle w:val="ListBullet"/>
      </w:pPr>
      <w:r>
        <w:t>Judgment about why a Swiss FIU, a Malaysian bank examiner and a Dubai regulator decline different things — and what "proportionate supervision" concretely means to each.</w:t>
      </w:r>
    </w:p>
    <w:p>
      <w:pPr>
        <w:pStyle w:val="ListBullet"/>
      </w:pPr>
      <w:r>
        <w:t>Handles classification, need-to-know and evidence chain-of-custody as habits, not policies.</w:t>
      </w:r>
    </w:p>
    <w:p>
      <w:r>
        <w:t>Nice to have:</w:t>
      </w:r>
    </w:p>
    <w:p>
      <w:pPr>
        <w:pStyle w:val="ListBullet"/>
      </w:pPr>
      <w:r>
        <w:t>Prior ownership of a RegTech pilot/PoC/design-partner programme, including contracting.</w:t>
      </w:r>
    </w:p>
    <w:p>
      <w:pPr>
        <w:pStyle w:val="ListBullet"/>
      </w:pPr>
      <w:r>
        <w:t>Published writing on AML/CFT or digital-asset policy; expert-witness or regulatory-consultation experience.</w:t>
      </w:r>
    </w:p>
    <w:p>
      <w:pPr>
        <w:pStyle w:val="ListBullet"/>
      </w:pPr>
      <w:r>
        <w:t>Direct operation of incumbent tracing platforms (Chainalysis Reactance/KRYOS, TRM Labs, Elliptic) — you will help compete against them honestly, including export/import compatibility.</w:t>
      </w:r>
    </w:p>
    <w:p>
      <w:pPr>
        <w:pStyle w:val="ListBullet"/>
      </w:pPr>
      <w:r>
        <w:t>Regional network: Malaysian regulatory circles, GCC compliance consultancies and Big-4 forensic arms, SEA VASP compliance desks, Turkish/Egyptian licensing consultants.</w:t>
      </w:r>
    </w:p>
    <w:p>
      <w:pPr>
        <w:pStyle w:val="ListBullet"/>
      </w:pPr>
      <w:r>
        <w:t>E-KYC and fraud-assurance awareness (document authentication, deepfake document detection, identity assurance levels) — the identity console sits in this role's advisory perimeter. Tokenisation/RWA compliance awareness a plus.</w:t>
      </w:r>
    </w:p>
    <w:p>
      <w:pPr>
        <w:pStyle w:val="ListBullet"/>
      </w:pPr>
      <w:r>
        <w:t>Languages: English business-fluent or native (mandatory, written); Malay strong advantage; Arabic, Turkish, Vietnamese or Russian genuine differentiators.</w:t>
      </w:r>
    </w:p>
    <w:p>
      <w:pPr>
        <w:pStyle w:val="Heading1"/>
      </w:pPr>
      <w:r>
        <w:t>7. What We Offer</w:t>
      </w:r>
    </w:p>
    <w:p>
      <w:pPr>
        <w:pStyle w:val="ListBullet"/>
      </w:pPr>
      <w:r>
        <w:t>Genuine ownership: the compliance doctrine of a sovereign blockchain-forensics product is written by this seat, not inherited.</w:t>
      </w:r>
    </w:p>
    <w:p>
      <w:pPr>
        <w:pStyle w:val="ListBullet"/>
      </w:pPr>
      <w:r>
        <w:t>Year-one exposure to central banks, FIUs and national police financial-crime units across three continents.</w:t>
      </w:r>
    </w:p>
    <w:p>
      <w:pPr>
        <w:pStyle w:val="ListBullet"/>
      </w:pPr>
      <w:r>
        <w:t>Authority matched to accountability — blocking recommendations are recorded and answered, not absorbed.</w:t>
      </w:r>
    </w:p>
    <w:p>
      <w:pPr>
        <w:pStyle w:val="ListBullet"/>
      </w:pPr>
      <w:r>
        <w:t>Funded certification and professional-body participation; publication credit under your own name.</w:t>
      </w:r>
    </w:p>
    <w:p>
      <w:pPr>
        <w:pStyle w:val="ListBullet"/>
      </w:pPr>
      <w:r>
        <w:t>A small team, direct leadership access, and a stated kill/continue culture: honest bad news valued over managed optimism.</w:t>
      </w:r>
    </w:p>
    <w:p>
      <w:pPr>
        <w:pStyle w:val="Heading1"/>
      </w:pPr>
      <w:r>
        <w:t>8. Engagement Terms</w:t>
      </w:r>
    </w:p>
    <w:p>
      <w:r>
        <w:t>Full-time, permanent, Kuala Lumpur hybrid; 15–20% regional travel. Three-month probation with the Section 5 objectives. Compensation band indicative pending COO confirmation before posting. Includes medical, travel allowance, funded CAMS/ICA, professional-body membership. Confidentiality: law-enforcement-grade material under formal NDA and classification discipline from day one; engagements involve state institutions across jurisdictions — professional discretion is a condition of employment. Integrity standard: the company publishes methodology and measures its own precision; inflated capability claims are a conduct matter.</w:t>
      </w:r>
    </w:p>
    <w:p>
      <w:pPr>
        <w:pStyle w:val="Heading1"/>
      </w:pPr>
      <w:r>
        <w:t>9. Appendix — Role Benchmarks &amp; Verification (REMOVE BEFORE POSTING)</w:t>
      </w:r>
    </w:p>
    <w:p>
      <w:r>
        <w:t>Comparators (Greenhouse public boards; re-pull at revision):</w:t>
      </w:r>
    </w:p>
    <w:p>
      <w:pPr>
        <w:pStyle w:val="ListBullet"/>
      </w:pPr>
      <w:r>
        <w:t>Stripe — "Thailand Compliance Officer &amp; MLRO" (Greenhouse, id 8076966; re-pulled live 26-Oct-2026) — named-officer-of-record grammar: "you'll serve as the principal decision-maker…"; public-face-of-FinCRO framing.</w:t>
      </w:r>
    </w:p>
    <w:p>
      <w:pPr>
        <w:pStyle w:val="ListBullet"/>
      </w:pPr>
      <w:r>
        <w:t>Coinbase — "Compliance, Threat &amp; Risk Assessment Manager" (Greenhouse, id 8060662) and "Deputy Chief Regulatory Officer" (id 8001778); pull 26-Oct-2026 — compliance-management grammar at platform scale.</w:t>
      </w:r>
    </w:p>
    <w:p>
      <w:pPr>
        <w:pStyle w:val="ListBullet"/>
      </w:pPr>
      <w:r>
        <w:t>Binance — "Compliance Officer, Payments (Kazakhstan)", "Deputy MLRO — Taiwan" — country-officer pattern (pull 16-Oct-2026).</w:t>
      </w:r>
    </w:p>
    <w:p>
      <w:r>
        <w:t>Verification ledger:</w:t>
      </w:r>
    </w:p>
    <w:p>
      <w:pPr>
        <w:pStyle w:val="ListBullet"/>
      </w:pPr>
      <w:r>
        <w:t>~120-institution roster, corridors, gates G1–G6, kill/continue metrics: [FACT — ChainSentry strategy v2 + activation master plan].</w:t>
      </w:r>
    </w:p>
    <w:p>
      <w:pPr>
        <w:pStyle w:val="ListBullet"/>
      </w:pPr>
      <w:r>
        <w:t>Program top-risk (pipeline outruns compliance): [FACT — RSK register].</w:t>
      </w:r>
    </w:p>
    <w:p>
      <w:pPr>
        <w:pStyle w:val="ListBullet"/>
      </w:pPr>
      <w:r>
        <w:t>Pilot terms/data-rights doctrine: [FACT — ACT-20261006-008 closed 20-Oct].</w:t>
      </w:r>
    </w:p>
    <w:p>
      <w:pPr>
        <w:pStyle w:val="ListBullet"/>
      </w:pPr>
      <w:r>
        <w:t>Compensation band: [INDICATIVE] — COO confirmation precedes posting or candidate delivery.</w:t>
      </w:r>
    </w:p>
    <w:p>
      <w:pPr>
        <w:pStyle w:val="ListBullet"/>
      </w:pPr>
      <w:r>
        <w:t>Careers contact for Section 12 (application process below): [UNKNOWN] — insert before posting.</w:t>
      </w:r>
    </w:p>
    <w:p>
      <w:r>
        <w:t>Application process (for posting): Submit CV plus a one-page writing sample: "What should a newly licensed Vietnamese digital-asset exchange be required to have in place on day one for transaction monitoring — and what is proportionate?" Shortlisted candidates complete a live public-chain tracing exercise and a clause-negotiation conversation with the hiring panel.</w:t>
      </w:r>
    </w:p>
    <w:p>
      <w:pPr>
        <w:pStyle w:val="Heading1"/>
      </w:pPr>
      <w:r>
        <w:t>Appendix B — Internal Screening Scorecard (strip before posting)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Buy-side / enforcement reality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Has carried an actual AML decision or case under supervision, with consequences</w:t>
            </w:r>
          </w:p>
        </w:tc>
      </w:tr>
      <w:tr>
        <w:tc>
          <w:tcPr>
            <w:tcW w:type="dxa" w:w="2880"/>
          </w:tcPr>
          <w:p>
            <w:r>
              <w:t>On-chain competence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Live exercise: trace a funded scam cluster to an off-ramp in ≤45 minutes</w:t>
            </w:r>
          </w:p>
        </w:tc>
      </w:tr>
      <w:tr>
        <w:tc>
          <w:tcPr>
            <w:tcW w:type="dxa" w:w="2880"/>
          </w:tcPr>
          <w:p>
            <w:r>
              <w:t>Regulatory prose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Writing sample: structured, jurisdiction-aware, no vendor marketing voice</w:t>
            </w:r>
          </w:p>
        </w:tc>
      </w:tr>
      <w:tr>
        <w:tc>
          <w:tcPr>
            <w:tcW w:type="dxa" w:w="2880"/>
          </w:tcPr>
          <w:p>
            <w:r>
              <w:t>Framework depth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Explains R.15 Travel Rule implementation friction in one corridor state unprompted</w:t>
            </w:r>
          </w:p>
        </w:tc>
      </w:tr>
      <w:tr>
        <w:tc>
          <w:tcPr>
            <w:tcW w:type="dxa" w:w="2880"/>
          </w:tcPr>
          <w:p>
            <w:r>
              <w:t>Contract instinct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Negotiation conversation: defends data-rights clause, concedes cleanly on audit rights</w:t>
            </w:r>
          </w:p>
        </w:tc>
      </w:tr>
      <w:tr>
        <w:tc>
          <w:tcPr>
            <w:tcW w:type="dxa" w:w="2880"/>
          </w:tcPr>
          <w:p>
            <w:r>
              <w:t>Culture fit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Publishes uncertainty; distinguishes what is known from what is claimed</w:t>
            </w:r>
          </w:p>
        </w:tc>
      </w:tr>
    </w:tbl>
    <w:p>
      <w:r>
        <w:t>Red flags: only seat-based incumbent workflows and insists corpus size beats deployment model — the exact objection the product's wedge exists to break; or treats pilots as sales decoration rather than regulated evidence work.</w:t>
      </w:r>
    </w:p>
    <w:p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