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 — Product Manager, ChainSentry (CS-PM-001, v1.0)</w:t>
      </w:r>
    </w:p>
    <w:p>
      <w:r>
        <w:t>Position ID: CS-PM-001</w:t>
      </w:r>
    </w:p>
    <w:p>
      <w:r>
        <w:t>Company: Aras Integrasi Sdn Bhd — ChainSentry Product Division</w:t>
      </w:r>
    </w:p>
    <w:p>
      <w:r>
        <w:t>Department: Product (ChainSentry)</w:t>
      </w:r>
    </w:p>
    <w:p>
      <w:r>
        <w:t>Reports to: Solutions Architect / Product Lead, ChainSentry — dotted line to Chief Operating Officer for commercial matters</w:t>
      </w:r>
    </w:p>
    <w:p>
      <w:r>
        <w:t>Direct reports: None at appointment; coordinates engineering (2 FTE) delivery priorities through the lead</w:t>
      </w:r>
    </w:p>
    <w:p>
      <w:r>
        <w:t>Grade: Senior Executive / Assistant Manager, commensurate with 5–8 years relevant experience</w:t>
      </w:r>
    </w:p>
    <w:p>
      <w:r>
        <w:t>Location: Kuala Lumpur, Malaysia (hybrid working policy)</w:t>
      </w:r>
    </w:p>
    <w:p>
      <w:r>
        <w:t>Travel: Approximately 10–15% — design-partner sites, regulator briefings, occasional regional pilot kickoffs</w:t>
      </w:r>
    </w:p>
    <w:p>
      <w:r>
        <w:t>Employment type: Full-time, permanent. Probationary period of three months with structured objectives (Section 5)</w:t>
      </w:r>
    </w:p>
    <w:p>
      <w:r>
        <w:t>Salary &amp; benefits: Competitive band aligned to Malaysian fintech-product market norms; band confirmed by COO before posting. Includes medical coverage, certification support, and professional-body membership.</w:t>
      </w:r>
    </w:p>
    <w:p>
      <w:r>
        <w:t>Version 1.0 — owner: Hadri (COO) — supersedes none. Companion role: CS-AML-001 (AML/CFT Compliance Specialist).</w:t>
      </w:r>
    </w:p>
    <w:p>
      <w:pPr>
        <w:pStyle w:val="Heading1"/>
      </w:pPr>
      <w:r>
        <w:t>1. About Us</w:t>
      </w:r>
    </w:p>
    <w:p>
      <w:r>
        <w:t>Aras Integrasi Sdn Bhd is a Malaysian technology and security integrator with an established government and regulated-industry client base, including national security-agency deployments. ChainSentry is the company's sovereign blockchain-tracing and E-KYC product line — jurisdiction-first blockchain forensics for governments, financial-intelligence units, banks and licensed virtual-asset service providers that US-based cloud vendors price out, cannot serve due to data-residency or sanctions optics, or leave blind on Gulf–Southeast Asia–BRICS correspondent corridors.</w:t>
      </w:r>
    </w:p>
    <w:p>
      <w:r>
        <w:t>The product competes where incumbents cannot follow: sovereign on-premise deployment (cases never leave the customer's jurisdiction), measurable attribution depth on the USDT/TRON Gulf-to-SEA off-ramp graph, and published, court-defensible methodology — auditable-but-young positioned against opaque-but-old. ChainSentry sits at the intersection of blockchain infrastructure, law-enforcement workflow, and regulated financial services. The Product Manager is the seat that converts that positioning into a generally available product with named customer references — and does it on a published gate calendar that the board actually enforces.</w:t>
      </w:r>
    </w:p>
    <w:p>
      <w:pPr>
        <w:pStyle w:val="Heading1"/>
      </w:pPr>
      <w:r>
        <w:t>2. About the Role</w:t>
      </w:r>
    </w:p>
    <w:p>
      <w:r>
        <w:t>You will own the conversion of ChainSentry from alpha/design-partner program to production-grade product. This is the product-strategy and execution seat for a forensic platform in its hardest, most consequential phase: pilots must convert, gates must pass on dates, and every demo shown externally must be honest about what is live and what is roadmap.</w:t>
      </w:r>
    </w:p>
    <w:p>
      <w:r>
        <w:t>The mandate is a named pair: (1) own the roadmap as the program's sequence authority — the published gate spine (G1 appliance hardening → G2 import pathway → G3 adapters → G4 report generation → G5 corpus v0 → G6 pilot-readiness), the wave calendar, and the kill/continue checkpoints; (2) own the conversion loop — pilot feedback in, prioritized backlog out, shipped capability back to the pilot, until the program holds customer-named case reports that open government procurement.</w:t>
      </w:r>
    </w:p>
    <w:p>
      <w:r>
        <w:t>You will work daily with engineering, the AML/CFT compliance function, the founder-level product lead, and — increasingly — design partners: regulators and FIUs, licensed exchanges, banks, and professional-services channels across an ~120-institution roster spanning Malaysia, the GCC, Turkey, Egypt, SEA and Switzerland. You are comfortable straddling an engineering sprint, a regulator's evidence requirements, and a board gate review in the same afternoon.</w:t>
      </w:r>
    </w:p>
    <w:p>
      <w:pPr>
        <w:pStyle w:val="Heading1"/>
      </w:pPr>
      <w:r>
        <w:t>3. Key Responsibilities</w:t>
      </w:r>
    </w:p>
    <w:p>
      <w:pPr>
        <w:pStyle w:val="Heading1"/>
      </w:pPr>
      <w:r>
        <w:t>Roadmap and gate ownership</w:t>
      </w:r>
    </w:p>
    <w:p>
      <w:pPr>
        <w:pStyle w:val="ListBullet"/>
      </w:pPr>
      <w:r>
        <w:t>Own the ChainSentry product roadmap as sequence authority: version, publish, and defend it at scheduled gate reviews (board-visible, pass/fail, with freeze rules on failure).</w:t>
      </w:r>
    </w:p>
    <w:p>
      <w:pPr>
        <w:pStyle w:val="ListBullet"/>
      </w:pPr>
      <w:r>
        <w:t>Maintain the gate spine to published dates; escalate slipping gates in writing with options, not optimism.</w:t>
      </w:r>
    </w:p>
    <w:p>
      <w:pPr>
        <w:pStyle w:val="ListBullet"/>
      </w:pPr>
      <w:r>
        <w:t>Sequence the chain: product family after SENTRY GA — chain:HARVEST (cross-chain tracing MCP) and chain:IDENTITY (document forensics, deepfake/liveness, E-KYC capability line) — per the registered product-family roadmap.</w:t>
      </w:r>
    </w:p>
    <w:p>
      <w:pPr>
        <w:pStyle w:val="Heading1"/>
      </w:pPr>
      <w:r>
        <w:t>Pilot-to-product conversion loop</w:t>
      </w:r>
    </w:p>
    <w:p>
      <w:pPr>
        <w:pStyle w:val="ListBullet"/>
      </w:pPr>
      <w:r>
        <w:t>Instrument every design-partner pilot: capture friction (data-handling gaps, report-format gaps, jurisdiction features) as structured backlog with acceptance criteria.</w:t>
      </w:r>
    </w:p>
    <w:p>
      <w:pPr>
        <w:pStyle w:val="ListBullet"/>
      </w:pPr>
      <w:r>
        <w:t>Define and enforce the live-versus-demo boundary: every externally shown surface proven live or explicitly labelled demonstration — the honesty standard is a product requirement, not a marketing preference.</w:t>
      </w:r>
    </w:p>
    <w:p>
      <w:pPr>
        <w:pStyle w:val="ListBullet"/>
      </w:pPr>
      <w:r>
        <w:t>Produce the reusable demo asset library (recorded flow-scanner output, import-pathway walkthroughs, case-report flavours) per the program's briefing protocol.</w:t>
      </w:r>
    </w:p>
    <w:p>
      <w:pPr>
        <w:pStyle w:val="Heading1"/>
      </w:pPr>
      <w:r>
        <w:t>Capability definition and competitive parity</w:t>
      </w:r>
    </w:p>
    <w:p>
      <w:pPr>
        <w:pStyle w:val="ListBullet"/>
      </w:pPr>
      <w:r>
        <w:t>Define edition boundaries for the published SKU structure (Professional / Enterprise; module entitlement fixed by the coverage matrix — no add-on SKUs), and defend packaging in pricing conversations.</w:t>
      </w:r>
    </w:p>
    <w:p>
      <w:pPr>
        <w:pStyle w:val="ListBullet"/>
      </w:pPr>
      <w:r>
        <w:t>Run standing competitive teardowns (incumbent tracing platforms' export formats, adapter compatibility, pricing-model objections) and convert findings into wedge features — parity is defined by deployment, corridor, auditability and price-scope, not feature-count.</w:t>
      </w:r>
    </w:p>
    <w:p>
      <w:pPr>
        <w:pStyle w:val="ListBullet"/>
      </w:pPr>
      <w:r>
        <w:t>Own the report generator as the product's core evidence surface: report flavours per jurisdiction (MY, UAE, CH), chain-of-custody packaging, plain-language executive summaries an investigator can forward unedited.</w:t>
      </w:r>
    </w:p>
    <w:p>
      <w:pPr>
        <w:pStyle w:val="Heading1"/>
      </w:pPr>
      <w:r>
        <w:t>Cross-functional execution</w:t>
      </w:r>
    </w:p>
    <w:p>
      <w:pPr>
        <w:pStyle w:val="ListBullet"/>
      </w:pPr>
      <w:r>
        <w:t>Translate market and customer needs into scalable engineering capabilities; write specs engineering can ship without a meeting.</w:t>
      </w:r>
    </w:p>
    <w:p>
      <w:pPr>
        <w:pStyle w:val="ListBullet"/>
      </w:pPr>
      <w:r>
        <w:t>Partner with the AML/CFT function on pilot legality, corpus governance and methodology publication; on evidentiary claims, their veto stands — build to satisfy it.</w:t>
      </w:r>
    </w:p>
    <w:p>
      <w:pPr>
        <w:pStyle w:val="ListBullet"/>
      </w:pPr>
      <w:r>
        <w:t>Support RFP/tender and supplier due-diligence responses with product-accurate capability statements; correct overclaims wherever found, internally or externally.</w:t>
      </w:r>
    </w:p>
    <w:p>
      <w:pPr>
        <w:pStyle w:val="ListBullet"/>
      </w:pPr>
      <w:r>
        <w:t>Represent product in design-partner meetings and, when scheduled, regulator capability briefings.</w:t>
      </w:r>
    </w:p>
    <w:p>
      <w:pPr>
        <w:pStyle w:val="Heading1"/>
      </w:pPr>
      <w:r>
        <w:t>4. Authority and decision rights</w:t>
      </w:r>
    </w:p>
    <w:p>
      <w:pPr>
        <w:pStyle w:val="ListBullet"/>
      </w:pPr>
      <w:r>
        <w:t>**Sequence authority** on the roadmap within registered decision constraints; change control is the gate review.</w:t>
      </w:r>
    </w:p>
    <w:p>
      <w:pPr>
        <w:pStyle w:val="ListBullet"/>
      </w:pPr>
      <w:r>
        <w:t>**Backlog priority authority** between gate work and pilot-requested features, with recorded rationale; the lead arbitrates appeals, not items.</w:t>
      </w:r>
    </w:p>
    <w:p>
      <w:pPr>
        <w:pStyle w:val="ListBullet"/>
      </w:pPr>
      <w:r>
        <w:t>**Demo-asset authority:** approves what may be shown externally and in what framing; anything labelled demonstration is approved by this seat.</w:t>
      </w:r>
    </w:p>
    <w:p>
      <w:pPr>
        <w:pStyle w:val="ListBullet"/>
      </w:pPr>
      <w:r>
        <w:t>**Gate owner** for G2/G3/G4 review preparation; recommendation to pass/fail recorded at board-visible reviews.</w:t>
      </w:r>
    </w:p>
    <w:p>
      <w:pPr>
        <w:pStyle w:val="Heading1"/>
      </w:pPr>
      <w:r>
        <w:t>5. Success in the First Twelve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 30</w:t>
            </w:r>
          </w:p>
        </w:tc>
        <w:tc>
          <w:tcPr>
            <w:tcW w:type="dxa" w:w="4320"/>
          </w:tcPr>
          <w:p>
            <w:r>
              <w:t>Roadmap v-current absorbed and defended at next gate review; every pilot's open-friction register reviewed and reconciled into one prioritized backlog; live-vs-demo audit of all externally shown surfaces complete</w:t>
            </w:r>
          </w:p>
        </w:tc>
      </w:tr>
      <w:tr>
        <w:tc>
          <w:tcPr>
            <w:tcW w:type="dxa" w:w="4320"/>
          </w:tcPr>
          <w:p>
            <w:r>
              <w:t>Day 90</w:t>
            </w:r>
          </w:p>
        </w:tc>
        <w:tc>
          <w:tcPr>
            <w:tcW w:type="dxa" w:w="4320"/>
          </w:tcPr>
          <w:p>
            <w:r>
              <w:t>G3 adapter scope shipped against pilot demand; report generator v1 (MY flavour) accepted by ≥1 design partner for internal use; demo-asset library in use at briefings; gate-review pack is your artifact</w:t>
            </w:r>
          </w:p>
        </w:tc>
      </w:tr>
      <w:tr>
        <w:tc>
          <w:tcPr>
            <w:tcW w:type="dxa" w:w="4320"/>
          </w:tcPr>
          <w:p>
            <w:r>
              <w:t>Month 6</w:t>
            </w:r>
          </w:p>
        </w:tc>
        <w:tc>
          <w:tcPr>
            <w:tcW w:type="dxa" w:w="4320"/>
          </w:tcPr>
          <w:p>
            <w:r>
              <w:t>≥2 pilot-requested capabilities shipped and adopted; incumbent-export adapter compatibility demonstrated on real customer data; SKU/module entitlements reconciled against shipped reality; roadmap v-next published through the registered change path</w:t>
            </w:r>
          </w:p>
        </w:tc>
      </w:tr>
      <w:tr>
        <w:tc>
          <w:tcPr>
            <w:tcW w:type="dxa" w:w="4320"/>
          </w:tcPr>
          <w:p>
            <w:r>
              <w:t>Month 12</w:t>
            </w:r>
          </w:p>
        </w:tc>
        <w:tc>
          <w:tcPr>
            <w:tcW w:type="dxa" w:w="4320"/>
          </w:tcPr>
          <w:p>
            <w:r>
              <w:t>Product holds ≥1 customer-named case report (the program gate); edition packaging proven in ≥2 signed pilots; kill/continue checkpoints evidenced; chain:HARVEST specification drafted or explicitly deferred with reasons</w:t>
            </w:r>
          </w:p>
        </w:tc>
      </w:tr>
    </w:tbl>
    <w:p>
      <w:pPr>
        <w:pStyle w:val="Heading1"/>
      </w:pPr>
      <w:r>
        <w:t>6. About You</w:t>
      </w:r>
    </w:p>
    <w:p>
      <w:r>
        <w:t>Required:</w:t>
      </w:r>
    </w:p>
    <w:p>
      <w:pPr>
        <w:pStyle w:val="ListBullet"/>
      </w:pPr>
      <w:r>
        <w:t>5–8 years product management, of which ≥2 years on data-intensive or investigative products for regulated buyers (banks, regulators, government, law enforcement, or supervised fintech).</w:t>
      </w:r>
    </w:p>
    <w:p>
      <w:pPr>
        <w:pStyle w:val="ListBullet"/>
      </w:pPr>
      <w:r>
        <w:t>At least one product shipped, versioned and defended through a formal release or gate process you owned — say which in your application.</w:t>
      </w:r>
    </w:p>
    <w:p>
      <w:pPr>
        <w:pStyle w:val="ListBullet"/>
      </w:pPr>
      <w:r>
        <w:t>Working fluency with blockchain mechanics at analyst level: trace a USDT/TRON transaction through peel chains, mixer entry and a bridge hop using public explorers without assistance. You will not write production code, but engineers must not need to explain the domain to you twice.</w:t>
      </w:r>
    </w:p>
    <w:p>
      <w:pPr>
        <w:pStyle w:val="ListBullet"/>
      </w:pPr>
      <w:r>
        <w:t>Written product craft: specs, acceptance criteria and capability statements at tender grade; a writing sample is required at shortlist.</w:t>
      </w:r>
    </w:p>
    <w:p>
      <w:pPr>
        <w:pStyle w:val="ListBullet"/>
      </w:pPr>
      <w:r>
        <w:t>Judgment about regulated-buyer reality: what a Malaysian investigation paper needs, what an examiner rejects, what makes a government procurement stall — learned on the buy side, the build side or the enforcement side.</w:t>
      </w:r>
    </w:p>
    <w:p>
      <w:pPr>
        <w:pStyle w:val="ListBullet"/>
      </w:pPr>
      <w:r>
        <w:t>Comfortable straddling engineering sprints, compliance vetoes and board-visible gate reviews; treats an honest fail as data, not disgrace.</w:t>
      </w:r>
    </w:p>
    <w:p>
      <w:r>
        <w:t>Nice to have:</w:t>
      </w:r>
    </w:p>
    <w:p>
      <w:pPr>
        <w:pStyle w:val="ListBullet"/>
      </w:pPr>
      <w:r>
        <w:t>Prior product ownership of RegTech, AML/transaction-monitoring, or digital-forensics tooling.</w:t>
      </w:r>
    </w:p>
    <w:p>
      <w:pPr>
        <w:pStyle w:val="ListBullet"/>
      </w:pPr>
      <w:r>
        <w:t>Hands-on operating experience of incumbent tracing platforms (Chainalysis Reactance/KRYOS, TRM, Elliptic) — you will help compete against them honestly, including on import/export compatibility.</w:t>
      </w:r>
    </w:p>
    <w:p>
      <w:pPr>
        <w:pStyle w:val="ListBullet"/>
      </w:pPr>
      <w:r>
        <w:t>Experience with on-premise/appliance delivery, air-gapped update paths, or sovereign-cloud deployment constraints.</w:t>
      </w:r>
    </w:p>
    <w:p>
      <w:pPr>
        <w:pStyle w:val="ListBullet"/>
      </w:pPr>
      <w:r>
        <w:t>Regional context: Malaysian procurement, GCC regulatory regimes (VARA/SCA), or Turkey/Egypt licensing waves.</w:t>
      </w:r>
    </w:p>
    <w:p>
      <w:pPr>
        <w:pStyle w:val="ListBullet"/>
      </w:pPr>
      <w:r>
        <w:t>Languages: English business-fluent or native (mandatory, written); Malay strong advantage; Arabic or Turkish genuine differentiators.</w:t>
      </w:r>
    </w:p>
    <w:p>
      <w:pPr>
        <w:pStyle w:val="Heading1"/>
      </w:pPr>
      <w:r>
        <w:t>7. What We Offer</w:t>
      </w:r>
    </w:p>
    <w:p>
      <w:pPr>
        <w:pStyle w:val="ListBullet"/>
      </w:pPr>
      <w:r>
        <w:t>A published gate calendar the board actually enforces — unusual in this market, and your roadmap authority is real because the gate reviews are.</w:t>
      </w:r>
    </w:p>
    <w:p>
      <w:pPr>
        <w:pStyle w:val="ListBullet"/>
      </w:pPr>
      <w:r>
        <w:t>Direct line from your backlog to national-level casework: pilots are FIUs, police crypto-crime divisions, and supervised exchanges.</w:t>
      </w:r>
    </w:p>
    <w:p>
      <w:pPr>
        <w:pStyle w:val="ListBullet"/>
      </w:pPr>
      <w:r>
        <w:t>Seat scarcity: one product-management seat on the chain: family at its founding moment; the identity and tracing lines sequence after you.</w:t>
      </w:r>
    </w:p>
    <w:p>
      <w:pPr>
        <w:pStyle w:val="ListBullet"/>
      </w:pPr>
      <w:r>
        <w:t>Funded certification and conference presence; small team, direct leadership access, honest-news culture.</w:t>
      </w:r>
    </w:p>
    <w:p>
      <w:pPr>
        <w:pStyle w:val="Heading1"/>
      </w:pPr>
      <w:r>
        <w:t>8. Engagement Terms</w:t>
      </w:r>
    </w:p>
    <w:p>
      <w:r>
        <w:t>Full-time, permanent, Kuala Lumpur hybrid. Three-month probation with the Section 5 Day-30 objectives. Compensation band indicative pending COO confirmation before posting. Split-consultancy engagement considered for candidates with equivalent seniority; same standard applies.</w:t>
      </w:r>
    </w:p>
    <w:p>
      <w:pPr>
        <w:pStyle w:val="Heading1"/>
      </w:pPr>
      <w:r>
        <w:t>9. Appendix — Role Benchmarks &amp; Verification (REMOVE BEFORE POSTING)</w:t>
      </w:r>
    </w:p>
    <w:p>
      <w:r>
        <w:t>Comparators (pulled live 26-Oct-2026, Greenhouse public boards):</w:t>
      </w:r>
    </w:p>
    <w:p>
      <w:pPr>
        <w:pStyle w:val="ListBullet"/>
      </w:pPr>
      <w:r>
        <w:t>Ripple — "Lead Product Manager, On-chain Payments" (Greenhouse, id 8206128) — intersection-of-infrastructure-and-markets framing; "from concept through market adoption" grammar.</w:t>
      </w:r>
    </w:p>
    <w:p>
      <w:pPr>
        <w:pStyle w:val="ListBullet"/>
      </w:pPr>
      <w:r>
        <w:t>Coinbase — "Group Product Manager, Compliance Automation" (Greenhouse, id 7701642) — compliance-product ownership with named partner functions; cost/risk duality.</w:t>
      </w:r>
    </w:p>
    <w:p>
      <w:pPr>
        <w:pStyle w:val="ListBullet"/>
      </w:pPr>
      <w:r>
        <w:t>Stripe — "Regulatory Reporting Program Manager, Stablecoin" (Greenhouse, id 7650177, pull 16-Oct-2026 — re-pull at revision).</w:t>
      </w:r>
    </w:p>
    <w:p>
      <w:r>
        <w:t>Verification ledger:</w:t>
      </w:r>
    </w:p>
    <w:p>
      <w:pPr>
        <w:pStyle w:val="ListBullet"/>
      </w:pPr>
      <w:r>
        <w:t>Gate spine G1–G6, wk4 gate review (31-Oct), wk12 kill/continue, §7 briefing protocol: [FACT — ChainSentry strategy v2 + activation master plan].</w:t>
      </w:r>
    </w:p>
    <w:p>
      <w:pPr>
        <w:pStyle w:val="ListBullet"/>
      </w:pPr>
      <w:r>
        <w:t>SKU structure (editions-only, module matrix): [FACT — SKU Catalog v3.0 registration].</w:t>
      </w:r>
    </w:p>
    <w:p>
      <w:pPr>
        <w:pStyle w:val="ListBullet"/>
      </w:pPr>
      <w:r>
        <w:t>~120-institution roster, chain-family sequencing: [FACT — roster canon + DEC-20260915-001].</w:t>
      </w:r>
    </w:p>
    <w:p>
      <w:pPr>
        <w:pStyle w:val="ListBullet"/>
      </w:pPr>
      <w:r>
        <w:t>Compensation band: [INDICATIVE] — owner confirmation precedes posting.</w:t>
      </w:r>
    </w:p>
    <w:p>
      <w:pPr>
        <w:pStyle w:val="ListBullet"/>
      </w:pPr>
      <w:r>
        <w:t>Team size (2 eng + 1 data, binding constraint): [FACT — strategy §10].</w:t>
      </w:r>
    </w:p>
    <w:p>
      <w:pPr>
        <w:pStyle w:val="Heading1"/>
      </w:pPr>
      <w:r>
        <w:t>Appendix B — Internal Screening Scorecard (strip before posting)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Gate-and-roadmap authority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Has owned a published roadmap through pass/fail reviews — names the gates and the outcomes</w:t>
            </w:r>
          </w:p>
        </w:tc>
      </w:tr>
      <w:tr>
        <w:tc>
          <w:tcPr>
            <w:tcW w:type="dxa" w:w="2880"/>
          </w:tcPr>
          <w:p>
            <w:r>
              <w:t>Regulated-buyer reality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Can describe what a government/evidence-grade deliverable requires without prompting</w:t>
            </w:r>
          </w:p>
        </w:tc>
      </w:tr>
      <w:tr>
        <w:tc>
          <w:tcPr>
            <w:tcW w:type="dxa" w:w="2880"/>
          </w:tcPr>
          <w:p>
            <w:r>
              <w:t>On-chain working fluency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Live exercise: narrate a funded scam cluster to an off-ramp on a public explorer in ≤30 min</w:t>
            </w:r>
          </w:p>
        </w:tc>
      </w:tr>
      <w:tr>
        <w:tc>
          <w:tcPr>
            <w:tcW w:type="dxa" w:w="2880"/>
          </w:tcPr>
          <w:p>
            <w:r>
              <w:t>Written product craft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Spec sample: testable acceptance criteria, no adjectives</w:t>
            </w:r>
          </w:p>
        </w:tc>
      </w:tr>
      <w:tr>
        <w:tc>
          <w:tcPr>
            <w:tcW w:type="dxa" w:w="2880"/>
          </w:tcPr>
          <w:p>
            <w:r>
              <w:t>Honest-fail temperament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Describes a shipped miss and what the loop did with it</w:t>
            </w:r>
          </w:p>
        </w:tc>
      </w:tr>
      <w:tr>
        <w:tc>
          <w:tcPr>
            <w:tcW w:type="dxa" w:w="2880"/>
          </w:tcPr>
          <w:p>
            <w:r>
              <w:t>Competitive honesty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States an incumbent's genuine strength and the wedge that answers it</w:t>
            </w:r>
          </w:p>
        </w:tc>
      </w:tr>
    </w:tbl>
    <w:p>
      <w:r>
        <w:t>Red flags: treats gate reviews as theater; capability inflation as sales style; "roadmap" meaning a wish list with dates.</w:t>
      </w:r>
    </w:p>
    <w:p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