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40"/>
        </w:rPr>
        <w:t>chain:SENTRY</w:t>
      </w:r>
    </w:p>
    <w:p>
      <w:pPr>
        <w:spacing w:after="40"/>
      </w:pPr>
      <w:r>
        <w:rPr>
          <w:b/>
          <w:sz w:val="28"/>
        </w:rPr>
        <w:t>Product Documentation Gaps — Management Review &amp; Funding Baseline</w:t>
      </w:r>
    </w:p>
    <w:p>
      <w:pPr>
        <w:spacing w:after="200"/>
      </w:pPr>
      <w:r>
        <w:rPr>
          <w:b w:val="0"/>
          <w:color w:val="666666"/>
          <w:sz w:val="18"/>
        </w:rPr>
        <w:t>Compiled 28 October 2026 (MYT) · v1.0 · CONFIDENTIAL — internal management review</w:t>
      </w:r>
    </w:p>
    <w:p>
      <w:pPr>
        <w:pStyle w:val="Heading1"/>
      </w:pPr>
      <w:r>
        <w:rPr>
          <w:color w:val="1F3864"/>
        </w:rPr>
        <w:t>1. Announcement-Ready Abstract (for the funding request)</w:t>
      </w:r>
    </w:p>
    <w:p>
      <w:pPr>
        <w:spacing w:after="200"/>
      </w:pPr>
      <w:r>
        <w:rPr>
          <w:b w:val="0"/>
        </w:rPr>
        <w:t>chain:SENTRY, Aras Integrasi's sovereign blockchain-investigation platform, has completed its first law-enforcement briefing cycle: PDRM CCID/JSJK Forensik received the full product briefing on 27 October 2026, an adoption decision is pending, and a government evaluation channel (CyberSecurity Malaysia) opens with a confirmed 11 November leadership meeting. The platform's verified core is strong - 26/26 page routes and 32/32 authenticated API paths returned live data under independent verification, backed by a 583,574-tag attribution corpus across 78 chains and sanctions screening at sub-20-millisecond latency. Thirteen documented work packages separate this verified core from pilot delivery: 4 critical, 3 must-have, 4 should-have, 2 future. The immediate funding need is delivery capacity - the adopted 7-FTE operating model (CC-01 envelope MYR 100-150k/month) remains unfilled and a 2-engineer span of responsibility now gates three concurrent government adoption tracks. Positioning is not verification: no external capability claim is made beyond the evidence base cited herein.</w:t>
      </w:r>
    </w:p>
    <w:p>
      <w:pPr>
        <w:pStyle w:val="Heading1"/>
      </w:pPr>
      <w:r>
        <w:rPr>
          <w:color w:val="1F3864"/>
        </w:rPr>
        <w:t>2. Readiness Verdict (spec-evidenced)</w:t>
      </w:r>
    </w:p>
    <w:p>
      <w:r>
        <w:rPr>
          <w:b/>
        </w:rPr>
        <w:t>Not ready for production/GA — pilot scope only, after Phase 0.</w:t>
      </w:r>
      <w:r>
        <w:rPr>
          <w:b w:val="0"/>
        </w:rPr>
        <w:t xml:space="preserve"> [T2, spec §5.2–5.4]</w:t>
      </w:r>
    </w:p>
    <w:p>
      <w:pPr>
        <w:pStyle w:val="ListBullet"/>
      </w:pPr>
      <w:r>
        <w:t>Deployment parity: 22-commit / 32-day development-to-deployment lag (TEC-012) — release risk accumulates daily.</w:t>
      </w:r>
    </w:p>
    <w:p>
      <w:pPr>
        <w:pStyle w:val="ListBullet"/>
      </w:pPr>
      <w:r>
        <w:t>External access: service unreachable externally; named pilot accounts not issued; session URL requires correction (BLK-002/003).</w:t>
      </w:r>
    </w:p>
    <w:p>
      <w:pPr>
        <w:pStyle w:val="ListBullet"/>
      </w:pPr>
      <w:r>
        <w:t>Credential closure: four provider keys previously exposed; rotation outstanding (BLK-001). C1 recorded closed on operator confirmation 8 Sep; evidence item (fingerprint record) remains open in the C2 pack.</w:t>
      </w:r>
    </w:p>
    <w:p>
      <w:pPr>
        <w:pStyle w:val="ListBullet"/>
      </w:pPr>
      <w:r>
        <w:t>Live-vs-demo boundary: a 31-tool registry remains fixture-backed while the dossier registry is live (DEF-009) — no pilot result may be fixture data.</w:t>
      </w:r>
    </w:p>
    <w:p>
      <w:pPr>
        <w:pStyle w:val="ListBullet"/>
      </w:pPr>
      <w:r>
        <w:t>Governance context: reduced-screening interim posture per DAF Option B ruling 26 Oct (DEC-20261026-001); consolidated Phase-0 (M2–M7) status report due 2 Nov 2026 (ACT-20261026-002).</w:t>
      </w:r>
    </w:p>
    <w:p>
      <w:pPr>
        <w:pStyle w:val="Heading1"/>
      </w:pPr>
      <w:r>
        <w:rPr>
          <w:color w:val="1F3864"/>
        </w:rPr>
        <w:t>3. Verified Strengths (the asset being funded)</w:t>
      </w:r>
    </w:p>
    <w:p>
      <w:pPr>
        <w:pStyle w:val="ListBullet"/>
      </w:pPr>
      <w:r>
        <w:t>Verification sweep: 26/26 page routes correct; 32/32 authenticated GET paths returned live data; 44 API handlers in the recorded baseline.</w:t>
      </w:r>
    </w:p>
    <w:p>
      <w:pPr>
        <w:pStyle w:val="ListBullet"/>
      </w:pPr>
      <w:r>
        <w:t>Risk discrimination confirmed: exchange 16/Minimal; OFAC-listed 90/Critical; mixer router 65/High.</w:t>
      </w:r>
    </w:p>
    <w:p>
      <w:pPr>
        <w:pStyle w:val="ListBullet"/>
      </w:pPr>
      <w:r>
        <w:t>Measured performance (warm): screening/attribution &lt;20 ms; trace-to-cash-out ~32 s; composite score 1.4–1.5 s.</w:t>
      </w:r>
    </w:p>
    <w:p>
      <w:pPr>
        <w:pStyle w:val="ListBullet"/>
      </w:pPr>
      <w:r>
        <w:t>Attribution corpus: 583,574 tags / 524,656 addresses / 78 chains; sanctions registry 4,633 addresses; 1,790 checksum-verified dark-web contributions labelled 'observed' — never criminal attribution.</w:t>
      </w:r>
    </w:p>
    <w:p>
      <w:pPr>
        <w:pStyle w:val="ListBullet"/>
      </w:pPr>
      <w:r>
        <w:t>Commercial layer registered: editions-only SKU catalog (Professional RM 96k/yr · Enterprise RM 348k/yr; reference deals RM 698k and RM 300k Y1).</w:t>
      </w:r>
    </w:p>
    <w:p>
      <w:pPr>
        <w:pStyle w:val="Heading1"/>
      </w:pPr>
      <w:r>
        <w:rPr>
          <w:color w:val="1F3864"/>
        </w:rPr>
        <w:t>4. Gap Register — 13 Documented Work Packages</w:t>
      </w:r>
    </w:p>
    <w:p>
      <w:pPr>
        <w:spacing w:after="120"/>
      </w:pPr>
      <w:r>
        <w:rPr>
          <w:b w:val="0"/>
          <w:color w:val="666666"/>
          <w:sz w:val="18"/>
        </w:rPr>
        <w:t>Extracted programmatically from the MVP Specification v3.0 priority gap matrix (§5.4.1). Tier labels are the spec's own; remediation phrasing condensed from the spec's resolution column.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fill="1F3864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2608"/>
            <w:shd w:val="clear" w:fill="1F3864"/>
          </w:tcPr>
          <w:p>
            <w:r>
              <w:rPr>
                <w:b/>
                <w:color w:val="FFFFFF"/>
              </w:rPr>
              <w:t>Work package</w:t>
            </w:r>
          </w:p>
        </w:tc>
        <w:tc>
          <w:tcPr>
            <w:tcW w:type="dxa" w:w="1701"/>
            <w:shd w:val="clear" w:fill="1F3864"/>
          </w:tcPr>
          <w:p>
            <w:r>
              <w:rPr>
                <w:b/>
                <w:color w:val="FFFFFF"/>
              </w:rPr>
              <w:t>Ref IDs</w:t>
            </w:r>
          </w:p>
        </w:tc>
        <w:tc>
          <w:tcPr>
            <w:tcW w:type="dxa" w:w="4195"/>
            <w:shd w:val="clear" w:fill="1F3864"/>
          </w:tcPr>
          <w:p>
            <w:r>
              <w:rPr>
                <w:b/>
                <w:color w:val="FFFFFF"/>
              </w:rPr>
              <w:t>What closing it delivers</w:t>
            </w:r>
          </w:p>
        </w:tc>
      </w:tr>
      <w:tr>
        <w:tc>
          <w:tcPr>
            <w:tcW w:type="dxa" w:w="1134"/>
            <w:shd w:val="clear" w:fill="C00000"/>
          </w:tcPr>
          <w:p>
            <w:r>
              <w:rPr>
                <w:b/>
                <w:color w:val="FFFFFF"/>
              </w:rPr>
              <w:t>Critical</w:t>
            </w:r>
          </w:p>
        </w:tc>
        <w:tc>
          <w:tcPr>
            <w:tcW w:type="dxa" w:w="2608"/>
          </w:tcPr>
          <w:p>
            <w:r>
              <w:t>Deployment parity</w:t>
            </w:r>
          </w:p>
        </w:tc>
        <w:tc>
          <w:tcPr>
            <w:tcW w:type="dxa" w:w="1701"/>
          </w:tcPr>
          <w:p>
            <w:r>
              <w:t>TEC-012</w:t>
            </w:r>
          </w:p>
        </w:tc>
        <w:tc>
          <w:tcPr>
            <w:tcW w:type="dxa" w:w="4195"/>
          </w:tcPr>
          <w:p>
            <w:r>
              <w:t>Create a release manifest, deploy in a controlled window, apply migrations, and repeat the authenticated API/risk regression sweep.</w:t>
            </w:r>
          </w:p>
        </w:tc>
      </w:tr>
      <w:tr>
        <w:tc>
          <w:tcPr>
            <w:tcW w:type="dxa" w:w="1134"/>
            <w:shd w:val="clear" w:fill="C00000"/>
          </w:tcPr>
          <w:p>
            <w:r>
              <w:rPr>
                <w:b/>
                <w:color w:val="FFFFFF"/>
              </w:rPr>
              <w:t>Critical</w:t>
            </w:r>
          </w:p>
        </w:tc>
        <w:tc>
          <w:tcPr>
            <w:tcW w:type="dxa" w:w="2608"/>
          </w:tcPr>
          <w:p>
            <w:r>
              <w:t>External access and named identity</w:t>
            </w:r>
          </w:p>
        </w:tc>
        <w:tc>
          <w:tcPr>
            <w:tcW w:type="dxa" w:w="1701"/>
          </w:tcPr>
          <w:p>
            <w:r>
              <w:t>BLK-002</w:t>
            </w:r>
          </w:p>
        </w:tc>
        <w:tc>
          <w:tcPr>
            <w:tcW w:type="dxa" w:w="4195"/>
          </w:tcPr>
          <w:p>
            <w:r>
              <w:t>Provision TLS termination, correct callback/session URL, issue per-person roles, and prove end-to-end login from the pilot network.</w:t>
            </w:r>
          </w:p>
        </w:tc>
      </w:tr>
      <w:tr>
        <w:tc>
          <w:tcPr>
            <w:tcW w:type="dxa" w:w="1134"/>
            <w:shd w:val="clear" w:fill="C00000"/>
          </w:tcPr>
          <w:p>
            <w:r>
              <w:rPr>
                <w:b/>
                <w:color w:val="FFFFFF"/>
              </w:rPr>
              <w:t>Critical</w:t>
            </w:r>
          </w:p>
        </w:tc>
        <w:tc>
          <w:tcPr>
            <w:tcW w:type="dxa" w:w="2608"/>
          </w:tcPr>
          <w:p>
            <w:r>
              <w:t>Credential closure and secret governance</w:t>
            </w:r>
          </w:p>
        </w:tc>
        <w:tc>
          <w:tcPr>
            <w:tcW w:type="dxa" w:w="1701"/>
          </w:tcPr>
          <w:p>
            <w:r>
              <w:t>BLK-001, TEC-009</w:t>
            </w:r>
          </w:p>
        </w:tc>
        <w:tc>
          <w:tcPr>
            <w:tcW w:type="dxa" w:w="4195"/>
          </w:tcPr>
          <w:p>
            <w:r>
              <w:t>Rotate/revoke every exposed key, update providers, validate masked health output, and document an owner/cadence for rotation.</w:t>
            </w:r>
          </w:p>
        </w:tc>
      </w:tr>
      <w:tr>
        <w:tc>
          <w:tcPr>
            <w:tcW w:type="dxa" w:w="1134"/>
            <w:shd w:val="clear" w:fill="C00000"/>
          </w:tcPr>
          <w:p>
            <w:r>
              <w:rPr>
                <w:b/>
                <w:color w:val="FFFFFF"/>
              </w:rPr>
              <w:t>Critical</w:t>
            </w:r>
          </w:p>
        </w:tc>
        <w:tc>
          <w:tcPr>
            <w:tcW w:type="dxa" w:w="2608"/>
          </w:tcPr>
          <w:p>
            <w:r>
              <w:t>Live-versus-demo boundary</w:t>
            </w:r>
          </w:p>
        </w:tc>
        <w:tc>
          <w:tcPr>
            <w:tcW w:type="dxa" w:w="1701"/>
          </w:tcPr>
          <w:p>
            <w:r>
              <w:t>DEF-009</w:t>
            </w:r>
          </w:p>
        </w:tc>
        <w:tc>
          <w:tcPr>
            <w:tcW w:type="dxa" w:w="4195"/>
          </w:tcPr>
          <w:p>
            <w:r>
              <w:t>Inventory every pilot route/tool, label or remove demo-only behavior, wire the mock registry to live providers or exclude it, and prove no pilot result is fixture data.</w:t>
            </w:r>
          </w:p>
        </w:tc>
      </w:tr>
      <w:tr>
        <w:tc>
          <w:tcPr>
            <w:tcW w:type="dxa" w:w="1134"/>
            <w:shd w:val="clear" w:fill="BF8F00"/>
          </w:tcPr>
          <w:p>
            <w:r>
              <w:rPr>
                <w:b/>
                <w:color w:val="FFFFFF"/>
              </w:rPr>
              <w:t>Must</w:t>
            </w:r>
          </w:p>
        </w:tc>
        <w:tc>
          <w:tcPr>
            <w:tcW w:type="dxa" w:w="2608"/>
          </w:tcPr>
          <w:p>
            <w:r>
              <w:t>API and documentation parity</w:t>
            </w:r>
          </w:p>
        </w:tc>
        <w:tc>
          <w:tcPr>
            <w:tcW w:type="dxa" w:w="1701"/>
          </w:tcPr>
          <w:p>
            <w:r>
              <w:t>(contract parity)</w:t>
            </w:r>
          </w:p>
        </w:tc>
        <w:tc>
          <w:tcPr>
            <w:tcW w:type="dxa" w:w="4195"/>
          </w:tcPr>
          <w:p>
            <w:r>
              <w:t>Generate a versioned contract from implemented routes, correct authentication and rate-limit claims, label demonstration content, and add contract tests for every externally supported endpoint.</w:t>
            </w:r>
          </w:p>
        </w:tc>
      </w:tr>
      <w:tr>
        <w:tc>
          <w:tcPr>
            <w:tcW w:type="dxa" w:w="1134"/>
            <w:shd w:val="clear" w:fill="BF8F00"/>
          </w:tcPr>
          <w:p>
            <w:r>
              <w:rPr>
                <w:b/>
                <w:color w:val="FFFFFF"/>
              </w:rPr>
              <w:t>Must</w:t>
            </w:r>
          </w:p>
        </w:tc>
        <w:tc>
          <w:tcPr>
            <w:tcW w:type="dxa" w:w="2608"/>
          </w:tcPr>
          <w:p>
            <w:r>
              <w:t>Integration and anonymised-network health</w:t>
            </w:r>
          </w:p>
        </w:tc>
        <w:tc>
          <w:tcPr>
            <w:tcW w:type="dxa" w:w="1701"/>
          </w:tcPr>
          <w:p>
            <w:r>
              <w:t>DEF-014</w:t>
            </w:r>
          </w:p>
        </w:tc>
        <w:tc>
          <w:tcPr>
            <w:tcW w:type="dxa" w:w="4195"/>
          </w:tcPr>
          <w:p>
            <w:r>
              <w:t>Renew the live sanctions credential; disable superseded providers; re-point retired feeds; pass proxy variables through Compose; retest health and dossier coverage.</w:t>
            </w:r>
          </w:p>
        </w:tc>
      </w:tr>
      <w:tr>
        <w:tc>
          <w:tcPr>
            <w:tcW w:type="dxa" w:w="1134"/>
            <w:shd w:val="clear" w:fill="BF8F00"/>
          </w:tcPr>
          <w:p>
            <w:r>
              <w:rPr>
                <w:b/>
                <w:color w:val="FFFFFF"/>
              </w:rPr>
              <w:t>Must</w:t>
            </w:r>
          </w:p>
        </w:tc>
        <w:tc>
          <w:tcPr>
            <w:tcW w:type="dxa" w:w="2608"/>
          </w:tcPr>
          <w:p>
            <w:r>
              <w:t>Automated quality gates</w:t>
            </w:r>
          </w:p>
        </w:tc>
        <w:tc>
          <w:tcPr>
            <w:tcW w:type="dxa" w:w="1701"/>
          </w:tcPr>
          <w:p>
            <w:r>
              <w:t>TEC-001</w:t>
            </w:r>
          </w:p>
        </w:tc>
        <w:tc>
          <w:tcPr>
            <w:tcW w:type="dxa" w:w="4195"/>
          </w:tcPr>
          <w:p>
            <w:r>
              <w:t>Add npm test to CI, make lint/typecheck blocking, clear the accepted type baseline, add deterministic risk-model tests, and update the obsolete “no test suite” workflow comment.</w:t>
            </w:r>
          </w:p>
        </w:tc>
      </w:tr>
      <w:tr>
        <w:tc>
          <w:tcPr>
            <w:tcW w:type="dxa" w:w="1134"/>
            <w:shd w:val="clear" w:fill="2E74B5"/>
          </w:tcPr>
          <w:p>
            <w:r>
              <w:rPr>
                <w:b/>
                <w:color w:val="FFFFFF"/>
              </w:rPr>
              <w:t>Should</w:t>
            </w:r>
          </w:p>
        </w:tc>
        <w:tc>
          <w:tcPr>
            <w:tcW w:type="dxa" w:w="2608"/>
          </w:tcPr>
          <w:p>
            <w:r>
              <w:t>Schema migration and recovery</w:t>
            </w:r>
          </w:p>
        </w:tc>
        <w:tc>
          <w:tcPr>
            <w:tcW w:type="dxa" w:w="1701"/>
          </w:tcPr>
          <w:p>
            <w:r>
              <w:t>TEC-004</w:t>
            </w:r>
          </w:p>
        </w:tc>
        <w:tc>
          <w:tcPr>
            <w:tcW w:type="dxa" w:w="4195"/>
          </w:tcPr>
          <w:p>
            <w:r>
              <w:t>Adopt a migration runner with version history; test backup and restore of cases, attribution, sanctions and audit data; record recovery evidence.</w:t>
            </w:r>
          </w:p>
        </w:tc>
      </w:tr>
      <w:tr>
        <w:tc>
          <w:tcPr>
            <w:tcW w:type="dxa" w:w="1134"/>
            <w:shd w:val="clear" w:fill="2E74B5"/>
          </w:tcPr>
          <w:p>
            <w:r>
              <w:rPr>
                <w:b/>
                <w:color w:val="FFFFFF"/>
              </w:rPr>
              <w:t>Should</w:t>
            </w:r>
          </w:p>
        </w:tc>
        <w:tc>
          <w:tcPr>
            <w:tcW w:type="dxa" w:w="2608"/>
          </w:tcPr>
          <w:p>
            <w:r>
              <w:t>Tenant isolation and quota control</w:t>
            </w:r>
          </w:p>
        </w:tc>
        <w:tc>
          <w:tcPr>
            <w:tcW w:type="dxa" w:w="1701"/>
          </w:tcPr>
          <w:p>
            <w:r>
              <w:t>ENH-011, SHD-004</w:t>
            </w:r>
          </w:p>
        </w:tc>
        <w:tc>
          <w:tcPr>
            <w:tcW w:type="dxa" w:w="4195"/>
          </w:tcPr>
          <w:p>
            <w:r>
              <w:t>Create two test tenants, run cross-tenant negative tests, promote required tenant columns to NOT NULL after code-path verification, enforce tenant quotas, and retain audit evidence.</w:t>
            </w:r>
          </w:p>
        </w:tc>
      </w:tr>
      <w:tr>
        <w:tc>
          <w:tcPr>
            <w:tcW w:type="dxa" w:w="1134"/>
            <w:shd w:val="clear" w:fill="2E74B5"/>
          </w:tcPr>
          <w:p>
            <w:r>
              <w:rPr>
                <w:b/>
                <w:color w:val="FFFFFF"/>
              </w:rPr>
              <w:t>Should</w:t>
            </w:r>
          </w:p>
        </w:tc>
        <w:tc>
          <w:tcPr>
            <w:tcW w:type="dxa" w:w="2608"/>
          </w:tcPr>
          <w:p>
            <w:r>
              <w:t>Investigator outputs and oversight surfaces</w:t>
            </w:r>
          </w:p>
        </w:tc>
        <w:tc>
          <w:tcPr>
            <w:tcW w:type="dxa" w:w="1701"/>
          </w:tcPr>
          <w:p>
            <w:r>
              <w:t>ENH-007</w:t>
            </w:r>
          </w:p>
        </w:tc>
        <w:tc>
          <w:tcPr>
            <w:tcW w:type="dxa" w:w="4195"/>
          </w:tcPr>
          <w:p>
            <w:r>
              <w:t>Deliver explicit batch screening, signed/hashed PDF export, and an auditor-facing immutable activity view with acceptance tests.</w:t>
            </w:r>
          </w:p>
        </w:tc>
      </w:tr>
      <w:tr>
        <w:tc>
          <w:tcPr>
            <w:tcW w:type="dxa" w:w="1134"/>
            <w:shd w:val="clear" w:fill="2E74B5"/>
          </w:tcPr>
          <w:p>
            <w:r>
              <w:rPr>
                <w:b/>
                <w:color w:val="FFFFFF"/>
              </w:rPr>
              <w:t>Should</w:t>
            </w:r>
          </w:p>
        </w:tc>
        <w:tc>
          <w:tcPr>
            <w:tcW w:type="dxa" w:w="2608"/>
          </w:tcPr>
          <w:p>
            <w:r>
              <w:t>Alerting and operational observability</w:t>
            </w:r>
          </w:p>
        </w:tc>
        <w:tc>
          <w:tcPr>
            <w:tcW w:type="dxa" w:w="1701"/>
          </w:tcPr>
          <w:p>
            <w:r>
              <w:t>DEF-007, TEC-007</w:t>
            </w:r>
          </w:p>
        </w:tc>
        <w:tc>
          <w:tcPr>
            <w:tcW w:type="dxa" w:w="4195"/>
          </w:tcPr>
          <w:p>
            <w:r>
              <w:t>Implement and test email delivery, hide unsupported channels, alert on provider/job staleness, and establish structured operational dashboards.</w:t>
            </w:r>
          </w:p>
        </w:tc>
      </w:tr>
      <w:tr>
        <w:tc>
          <w:tcPr>
            <w:tcW w:type="dxa" w:w="1134"/>
            <w:shd w:val="clear" w:fill="7F7F7F"/>
          </w:tcPr>
          <w:p>
            <w:r>
              <w:rPr>
                <w:b/>
                <w:color w:val="FFFFFF"/>
              </w:rPr>
              <w:t>Future</w:t>
            </w:r>
          </w:p>
        </w:tc>
        <w:tc>
          <w:tcPr>
            <w:tcW w:type="dxa" w:w="2608"/>
          </w:tcPr>
          <w:p>
            <w:r>
              <w:t>Chain and trace completeness</w:t>
            </w:r>
          </w:p>
        </w:tc>
        <w:tc>
          <w:tcPr>
            <w:tcW w:type="dxa" w:w="1701"/>
          </w:tcPr>
          <w:p>
            <w:r>
              <w:t>ENH-002</w:t>
            </w:r>
          </w:p>
        </w:tc>
        <w:tc>
          <w:tcPr>
            <w:tcW w:type="dxa" w:w="4195"/>
          </w:tcPr>
          <w:p>
            <w:r>
              <w:t>Add chain-specific trace providers beginning with Bitcoin, explicit chain selection, and controlled bridge-hop continuation with provenance.</w:t>
            </w:r>
          </w:p>
        </w:tc>
      </w:tr>
      <w:tr>
        <w:tc>
          <w:tcPr>
            <w:tcW w:type="dxa" w:w="1134"/>
            <w:shd w:val="clear" w:fill="7F7F7F"/>
          </w:tcPr>
          <w:p>
            <w:r>
              <w:rPr>
                <w:b/>
                <w:color w:val="FFFFFF"/>
              </w:rPr>
              <w:t>Future</w:t>
            </w:r>
          </w:p>
        </w:tc>
        <w:tc>
          <w:tcPr>
            <w:tcW w:type="dxa" w:w="2608"/>
          </w:tcPr>
          <w:p>
            <w:r>
              <w:t>Evidence-grade assurance</w:t>
            </w:r>
          </w:p>
        </w:tc>
        <w:tc>
          <w:tcPr>
            <w:tcW w:type="dxa" w:w="1701"/>
          </w:tcPr>
          <w:p>
            <w:r>
              <w:t>ENH-001</w:t>
            </w:r>
          </w:p>
        </w:tc>
        <w:tc>
          <w:tcPr>
            <w:tcW w:type="dxa" w:w="4195"/>
          </w:tcPr>
          <w:p>
            <w:r>
              <w:t>Introduce signing/key custody, verification tooling, immutable pin persistence and complete source/confidence/retrieval-time capture.</w:t>
            </w:r>
          </w:p>
        </w:tc>
      </w:tr>
    </w:tbl>
    <w:p>
      <w:pPr>
        <w:pStyle w:val="Heading1"/>
      </w:pPr>
      <w:r>
        <w:rPr>
          <w:color w:val="1F3864"/>
        </w:rPr>
        <w:t>5. Funding Structure (three tranches)</w:t>
      </w:r>
    </w:p>
    <w:p>
      <w:r>
        <w:rPr>
          <w:b/>
        </w:rPr>
        <w:t>Tranche 1 — Pilot-critical (immediate).</w:t>
      </w:r>
      <w:r>
        <w:rPr>
          <w:b w:val="0"/>
        </w:rPr>
        <w:t xml:space="preserve"> The 4 Critical + 3 Must packages (§4, rows 1–7): release reconciliation, external TLS + named accounts, credential rotation, truth boundary, API contract regeneration, source-role renewal, and blocking quality gates. This tranche is the gate to the Phase-1 exit criterion: a partner-agency investigator completing a case intake-to-report on live intelligence. It also unblocks the stalled first government evaluation (testing-access action open since 15 Oct) and directly serves the pending PDRM adoption decision.</w:t>
      </w:r>
    </w:p>
    <w:p>
      <w:r>
        <w:rPr>
          <w:b/>
        </w:rPr>
        <w:t>Tranche 2 — Productisation.</w:t>
      </w:r>
      <w:r>
        <w:rPr>
          <w:b w:val="0"/>
        </w:rPr>
        <w:t xml:space="preserve"> The 4 Should packages: migration runner + tested backup/restore, second-tenant isolation and quotas, batch screening + signed PDF exports + audit UI, email alerting and observability. These convert a verified pilot into a defensible multi-agency service — the difference between one agency using chain:SENTRY and several.</w:t>
      </w:r>
    </w:p>
    <w:p>
      <w:r>
        <w:rPr>
          <w:b/>
        </w:rPr>
        <w:t>Tranche 3 — Capability expansion (roadmap).</w:t>
      </w:r>
      <w:r>
        <w:rPr>
          <w:b w:val="0"/>
        </w:rPr>
        <w:t xml:space="preserve"> The 2 Future packages: non-EVM tracing beginning with Bitcoin (the PDRM-relevant USDT/Tron line rides the same work), and cryptographically signed, fully-provenanced evidence dossiers — the court-grade assurance tier.</w:t>
      </w:r>
    </w:p>
    <w:p>
      <w:r>
        <w:rPr>
          <w:b/>
        </w:rPr>
        <w:t>Capacity basis:</w:t>
      </w:r>
      <w:r>
        <w:rPr>
          <w:b w:val="0"/>
        </w:rPr>
        <w:t xml:space="preserve"> funding is requested against the adopted 7-FTE operating model (CC-01 envelope MYR 100–150k/month, DEC-20260908-001). The binding constraint is not technology — all 13 packages are documented engineering work against an already-verified core — but hands: a 2-FTE technical unit currently spans three products. The chain:SENTRY hiring exception remains dormant by ruling; this review is the vehicle to activate it.</w:t>
      </w:r>
    </w:p>
    <w:p>
      <w:pPr>
        <w:pStyle w:val="Heading1"/>
      </w:pPr>
      <w:r>
        <w:rPr>
          <w:color w:val="1F3864"/>
        </w:rPr>
        <w:t>6. Risk if Unfunded</w:t>
      </w:r>
    </w:p>
    <w:p>
      <w:pPr>
        <w:pStyle w:val="ListBullet"/>
      </w:pPr>
      <w:r>
        <w:t>Adoption gates open before readiness: PDRM decision (imminent), CSM evaluation (11 Nov anchor), panel launch (composition-gated) — all three can arrive while the product remains pilot-blocked and externally unreachable.</w:t>
      </w:r>
    </w:p>
    <w:p>
      <w:pPr>
        <w:pStyle w:val="ListBullet"/>
      </w:pPr>
      <w:r>
        <w:t>Single point of failure compounds: one engineer carrying deployment parity, security remediation (7 open findings from the 23 Oct full-zone scan) and two sibling products.</w:t>
      </w:r>
    </w:p>
    <w:p>
      <w:pPr>
        <w:pStyle w:val="ListBullet"/>
      </w:pPr>
      <w:r>
        <w:t>Hiring window already lapsed: the Oct 13–20 start window expired unused; every week of delay compounds the post-expiry disposition debt and pushes pilot readiness into Q1 2027.</w:t>
      </w:r>
    </w:p>
    <w:p>
      <w:pPr>
        <w:pStyle w:val="ListBullet"/>
      </w:pPr>
      <w:r>
        <w:t>Competitive window: PDRM is actively shopping for blockchain-detection tooling (incumbent China-sourced; prior exposure to TRM Labs, Chainalysis, Crystal, Uppsala). A funded sovereign-local alternative meets a live procurement gap; an unfunded one watches it close.</w:t>
      </w:r>
    </w:p>
    <w:p>
      <w:pPr>
        <w:pStyle w:val="Heading1"/>
      </w:pPr>
      <w:r>
        <w:rPr>
          <w:color w:val="1F3864"/>
        </w:rPr>
        <w:t>7. Methodology &amp; Sources</w:t>
      </w:r>
    </w:p>
    <w:p>
      <w:pPr>
        <w:pStyle w:val="ListBullet"/>
      </w:pPr>
      <w:r>
        <w:t>Gap register machine-extracted from products/chainsentry/MVP_SPECIFICATION.md (MVP Product Specification v3.0, registered DOC-20260814-001) — 13 rows, 13/13 baseline figures verified at extraction.</w:t>
      </w:r>
    </w:p>
    <w:p>
      <w:pPr>
        <w:pStyle w:val="ListBullet"/>
      </w:pPr>
      <w:r>
        <w:t>Commercial figures from SKU Catalog v3.0 (DOC-20260924-010). Governance state from DEC-20261026-001, ACT-20261026-002, AIP Gate Tracker (28 Oct check). Adoption posture from CONV-20261028-004 (CCID/JSJK) and EVT-20261027-001 (CSM 11 Nov).</w:t>
      </w:r>
    </w:p>
    <w:p>
      <w:pPr>
        <w:pStyle w:val="ListBullet"/>
      </w:pPr>
      <w:r>
        <w:t>Claim discipline: positioning ≠ verification; no capability claim beyond the cited evidence base; Solana/coverage phrasing corrected to 'attribution + sanctions (tracing: EVM only)' per spec §6 boundaries.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