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D5C"/>
        </w:rPr>
        <w:t>JD — Head of Financial Crime Compliance, ChainSentry</w:t>
      </w:r>
    </w:p>
    <w:p>
      <w:r>
        <w:rPr>
          <w:b/>
        </w:rPr>
        <w:t>Company:</w:t>
      </w:r>
      <w:r>
        <w:t xml:space="preserve"> Aras Integrasi Sdn Bhd · </w:t>
      </w:r>
      <w:r>
        <w:rPr>
          <w:b/>
        </w:rPr>
        <w:t>Product:</w:t>
      </w:r>
      <w:r>
        <w:t xml:space="preserve"> ChainSentry (blockchain forensics &amp; AML tracing, sovereign-deployable)</w:t>
      </w:r>
    </w:p>
    <w:p>
      <w:r>
        <w:rPr>
          <w:b/>
        </w:rPr>
        <w:t>Reports to:</w:t>
      </w:r>
      <w:r>
        <w:t xml:space="preserve"> Solutions Architect (COO track) · </w:t>
      </w:r>
      <w:r>
        <w:rPr>
          <w:b/>
        </w:rPr>
        <w:t>Location:</w:t>
      </w:r>
      <w:r>
        <w:t xml:space="preserve"> KL · hybrid · </w:t>
      </w:r>
      <w:r>
        <w:rPr>
          <w:b/>
        </w:rPr>
        <w:t>Mode:</w:t>
      </w:r>
      <w:r>
        <w:t xml:space="preserve"> full-time, or 2-day/wk advisor retainer</w:t>
      </w:r>
    </w:p>
    <w:p>
      <w:pPr>
        <w:pStyle w:val="Heading1"/>
      </w:pPr>
      <w:r>
        <w:rPr>
          <w:color w:val="0B2D5C"/>
          <w:sz w:val="26"/>
        </w:rPr>
        <w:t>Why this role exists</w:t>
      </w:r>
    </w:p>
    <w:p>
      <w:r>
        <w:t>ChainSentry's binding constraint is trust, not engineering. This seat owns the trust side end-to-end: regulatory soundness, evidentiary strength, buyer credibility, and regulator presence across MY + the corridor.</w:t>
      </w:r>
    </w:p>
    <w:p>
      <w:pPr>
        <w:pStyle w:val="Heading1"/>
      </w:pPr>
      <w:r>
        <w:rPr>
          <w:color w:val="0B2D5C"/>
          <w:sz w:val="26"/>
        </w:rPr>
        <w:t>The translation engine — his skills → crypto (how we utilize him)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His skill (bank-native)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How it lands in crypto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What he produces for ChainSentry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FIED STR drafting (PDRM/ASTANA)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STR anatomy is identical on-chain; only evidence artifacts change (txhash, cluster, exposure path)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STR-ready case-file workflow; "crypto STR" playbook for Malaysian FIs — none exists publicly today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AMLATFPUAA 2001 disclosure orders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On-chain records = digital evidence; admissibility questions are his, not ours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Evidentiary standard for export: chain-of-custody, exhibit naming, affidavit hooks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Sanctions/name screening (Refinitiv/DJ/CTOS)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OFAC SDN + virtual-asset designations + Travel Rule = screening with a wallet dimension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Requirement set for our sanctions/VA-designation coverage; MEA lanes hinge on this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Regulatory inspection response (BNM/SC)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Regulators now ask FIs about VA exposure, DAX/KYT vendors, Travel Rule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Trust Requirements Spec; our answers to FI questionnaires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Board/management reporting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Boards ask "how do we govern crypto risk" without vendor fog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Compliance-grade reporting pack: what a board needs, in board language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Court proceedings experience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First on-chain cases will be contested; expert testimony is scarce locally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Deck/webinar claims audit; expert-witness readiness path for ChainSentry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AML policy/program build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FIs must extend programs to VA exposure — that extension IS our use case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Productized checklist: "AML program update for VA exposure" (lead magnet + pilot scope)</w:t>
            </w:r>
          </w:p>
        </w:tc>
      </w:tr>
    </w:tbl>
    <w:p>
      <w:pPr>
        <w:pStyle w:val="Heading1"/>
      </w:pPr>
      <w:r>
        <w:rPr>
          <w:color w:val="0B2D5C"/>
          <w:sz w:val="26"/>
        </w:rPr>
        <w:t>Honest positioning</w:t>
      </w:r>
    </w:p>
    <w:p>
      <w:r>
        <w:t xml:space="preserve">We hire for judgment and translate for medium. Chain-fluency is a mandatory 30-day ramp we fund; his compliance depth is the raw material the product needs. The design principle is deliberate: </w:t>
      </w:r>
      <w:r>
        <w:rPr>
          <w:b/>
        </w:rPr>
        <w:t>he is not our crypto expert — he is our crypto BUYER.</w:t>
      </w:r>
      <w:r>
        <w:t xml:space="preserve"> The compliance head with no chain depth is exactly who ChainSentry must convert; his learning curve is the buyer's learning curve, and every step that teaches him ships as product capability.</w:t>
      </w:r>
    </w:p>
    <w:p>
      <w:pPr>
        <w:pStyle w:val="Heading1"/>
      </w:pPr>
      <w:r>
        <w:rPr>
          <w:color w:val="0B2D5C"/>
          <w:sz w:val="26"/>
        </w:rPr>
        <w:t>The crypto ramp — first 30 days (part of the job, not homework)</w:t>
      </w:r>
    </w:p>
    <w:p>
      <w:r>
        <w:rPr>
          <w:b/>
        </w:rPr>
        <w:t>Week 1 — Mental model.</w:t>
      </w:r>
      <w:r>
        <w:t xml:space="preserve"> Addresses, blocks, fees; UTXO vs account; what a wallet is and isn't; exchanges, DEXs, mixers, bridges; block explorers without fear. 2×2h engineering-led sessions + reading.</w:t>
      </w:r>
    </w:p>
    <w:p>
      <w:r>
        <w:rPr>
          <w:b/>
        </w:rPr>
        <w:t>Week 2 — Typologies in his native language.</w:t>
      </w:r>
      <w:r>
        <w:t xml:space="preserve"> Pig-butchering, romance scams, mule networks, ransomware, sanctioned-entity movement, off-ramp patterns — each mapped to the typology he already knows: mule accounts ↔ mule wallets, cash-out ↔ off-ramp, layering ↔ chain-hop. He writes each mapping as a one-pager; the one-pagers become our MY-tuned typology library.</w:t>
      </w:r>
    </w:p>
    <w:p>
      <w:r>
        <w:rPr>
          <w:b/>
        </w:rPr>
        <w:t>Week 3 — Tool-side.</w:t>
      </w:r>
      <w:r>
        <w:t xml:space="preserve"> ChainSentry hands-on: run 5 seeded live cases end-to-end; tag/cluster/exposure features; every place the tool fails to answer a compliance question becomes a backlog entry with his name on it.</w:t>
      </w:r>
    </w:p>
    <w:p>
      <w:r>
        <w:rPr>
          <w:b/>
        </w:rPr>
        <w:t>Week 4 — His turn (T0 gate, contractual).</w:t>
      </w:r>
      <w:r>
        <w:t xml:space="preserve"> Unscripted 20-min brief: one VA off-ramp typology, to the product team, in compliance language. Pass = the team understood it without translation.</w:t>
      </w:r>
    </w:p>
    <w:p>
      <w:r>
        <w:rPr>
          <w:b/>
        </w:rPr>
        <w:t>Ongoing.</w:t>
      </w:r>
      <w:r>
        <w:t xml:space="preserve"> One chain-fluency item/week (TRM/Elliptic/Chainalysis public reports, FATF VA updates, SC RM Guidelines); budgeted path to recognisable standing (CAMS-Crypto or equivalent).</w:t>
      </w:r>
    </w:p>
    <w:p>
      <w:pPr>
        <w:pStyle w:val="Heading1"/>
      </w:pPr>
      <w:r>
        <w:rPr>
          <w:color w:val="0B2D5C"/>
          <w:sz w:val="26"/>
        </w:rPr>
        <w:t>Success artifacts (engineered in — dated, checkable)</w:t>
      </w:r>
    </w:p>
    <w:p>
      <w:r>
        <w:rPr>
          <w:b/>
        </w:rPr>
        <w:t>T0 (Day 30):</w:t>
      </w:r>
      <w:r>
        <w:t xml:space="preserve"> passes the Week-4 crypto brief (above) + his 4 typology one-pagers merged into the product's typology library.</w:t>
      </w:r>
    </w:p>
    <w:p>
      <w:r>
        <w:rPr>
          <w:b/>
        </w:rPr>
        <w:t>T1 (Day 30):</w:t>
      </w:r>
      <w:r>
        <w:t xml:space="preserve"> Trust Requirements Spec — what MY + 2 corridor jurisdictions require of a forensic tool, signed by us as backlog commitments.</w:t>
      </w:r>
    </w:p>
    <w:p>
      <w:r>
        <w:rPr>
          <w:b/>
        </w:rPr>
        <w:t>T2 (Day 60):</w:t>
      </w:r>
      <w:r>
        <w:t xml:space="preserve"> STR-ready case-file workflow defined from his FIED experience; engineering accepts scope.</w:t>
      </w:r>
    </w:p>
    <w:p>
      <w:r>
        <w:rPr>
          <w:b/>
        </w:rPr>
        <w:t>T3 (Day 90):</w:t>
      </w:r>
      <w:r>
        <w:t xml:space="preserve"> 2–3 MY design partners engaged; crypto-STR playbook v1 draft; all collateral claims-audited once.</w:t>
      </w:r>
    </w:p>
    <w:p>
      <w:r>
        <w:rPr>
          <w:b/>
        </w:rPr>
        <w:t>T4 (Month 12):</w:t>
      </w:r>
      <w:r>
        <w:t xml:space="preserve"> 2 named-reference pilots; methodology whitepaper (MY + corridor supplement); ≥1 appearance outside MY; ≥1 documented BNM/SC engagement.</w:t>
      </w:r>
    </w:p>
    <w:p>
      <w:pPr>
        <w:pStyle w:val="Heading1"/>
      </w:pPr>
      <w:r>
        <w:rPr>
          <w:color w:val="0B2D5C"/>
          <w:sz w:val="26"/>
        </w:rPr>
        <w:t>Clear tasks — his standing backlog, from week one</w:t>
      </w:r>
    </w:p>
    <w:p>
      <w:r>
        <w:t>Named, checkable, no grey zones. Standing cadence unless noted:</w:t>
      </w:r>
    </w:p>
    <w:p>
      <w:pPr>
        <w:pStyle w:val="ListNumber"/>
      </w:pPr>
      <w:r>
        <w:rPr>
          <w:b/>
        </w:rPr>
        <w:t>Weekly:</w:t>
      </w:r>
      <w:r>
        <w:t xml:space="preserve"> claims-audit pass on any new/changed collateral or deck (veto authority); review open case studies against evidentiary standard.</w:t>
      </w:r>
    </w:p>
    <w:p>
      <w:pPr>
        <w:pStyle w:val="ListNumber"/>
      </w:pPr>
      <w:r>
        <w:rPr>
          <w:b/>
        </w:rPr>
        <w:t>Weekly (from wk 3):</w:t>
      </w:r>
      <w:r>
        <w:t xml:space="preserve"> "tool vs compliance question" log — every question the product cannot answer becomes a backlog entry; he owns the log.</w:t>
      </w:r>
    </w:p>
    <w:p>
      <w:pPr>
        <w:pStyle w:val="ListNumber"/>
      </w:pPr>
      <w:r>
        <w:rPr>
          <w:b/>
        </w:rPr>
        <w:t>Day 1–10:</w:t>
      </w:r>
      <w:r>
        <w:t xml:space="preserve"> interviews — our 66-contact roster + his own network: minimum 8 conversations on how FIs handle VA exposure today. Output: Trust Requirements Spec input set.</w:t>
      </w:r>
    </w:p>
    <w:p>
      <w:pPr>
        <w:pStyle w:val="ListNumber"/>
      </w:pPr>
      <w:r>
        <w:rPr>
          <w:b/>
        </w:rPr>
        <w:t>Day 1–30:</w:t>
      </w:r>
      <w:r>
        <w:t xml:space="preserve"> write 4 typology one-pagers (his mapping work — Week 2 ramp); own T0 brief.</w:t>
      </w:r>
    </w:p>
    <w:p>
      <w:pPr>
        <w:pStyle w:val="ListNumber"/>
      </w:pPr>
      <w:r>
        <w:rPr>
          <w:b/>
        </w:rPr>
        <w:t>Day 30–60:</w:t>
      </w:r>
      <w:r>
        <w:t xml:space="preserve"> STR-ready case-file workflow — write it, walk it with engineering, walk it with one friendly MLRO (candidate: his referee, conflict-cleared first).</w:t>
      </w:r>
    </w:p>
    <w:p>
      <w:pPr>
        <w:pStyle w:val="ListNumber"/>
      </w:pPr>
      <w:r>
        <w:rPr>
          <w:b/>
        </w:rPr>
        <w:t>Day 30–90:</w:t>
      </w:r>
      <w:r>
        <w:t xml:space="preserve"> design-partner recruitment — target list from our T1 roster + his book; he leads, COO shadows.</w:t>
      </w:r>
    </w:p>
    <w:p>
      <w:pPr>
        <w:pStyle w:val="ListNumber"/>
      </w:pPr>
      <w:r>
        <w:rPr>
          <w:b/>
        </w:rPr>
        <w:t>Monthly:</w:t>
      </w:r>
      <w:r>
        <w:t xml:space="preserve"> horizon scan — one page, corridor regulatory movement (MAS, VARA, PPATK, AMLO, SC/BNM, FATF), with "so what for ChainSentry" line per item.</w:t>
      </w:r>
    </w:p>
    <w:p>
      <w:pPr>
        <w:pStyle w:val="ListNumber"/>
      </w:pPr>
      <w:r>
        <w:rPr>
          <w:b/>
        </w:rPr>
        <w:t>Quarterly:</w:t>
      </w:r>
      <w:r>
        <w:t xml:space="preserve"> webinar/briefing under his name (MY, then corridor); conference circuit proposal to COO.</w:t>
      </w:r>
    </w:p>
    <w:p>
      <w:pPr>
        <w:pStyle w:val="ListNumber"/>
      </w:pPr>
      <w:r>
        <w:rPr>
          <w:b/>
        </w:rPr>
        <w:t>Quarterly:</w:t>
      </w:r>
      <w:r>
        <w:t xml:space="preserve"> expert-network activation — join 1–2 (Deloitte/FTI/Ropes&amp;Gray class), log any ChainSentry referral as engagement, never quota.</w:t>
      </w:r>
    </w:p>
    <w:p>
      <w:pPr>
        <w:pStyle w:val="ListNumber"/>
      </w:pPr>
      <w:r>
        <w:rPr>
          <w:b/>
        </w:rPr>
        <w:t>Standing:</w:t>
      </w:r>
      <w:r>
        <w:t xml:space="preserve"> veto on public claims about evidentiary/regulatory matters. If he can't say it at a BNM roundtable, it doesn't ship.</w:t>
      </w:r>
    </w:p>
    <w:p>
      <w:pPr>
        <w:pStyle w:val="Heading1"/>
      </w:pPr>
      <w:r>
        <w:rPr>
          <w:color w:val="0B2D5C"/>
          <w:sz w:val="26"/>
        </w:rPr>
        <w:t>Pillars (what he owns)</w:t>
      </w:r>
    </w:p>
    <w:p>
      <w:pPr>
        <w:pStyle w:val="ListBullet"/>
      </w:pPr>
      <w:r>
        <w:rPr>
          <w:b/>
        </w:rPr>
        <w:t>P1 Regulatory soundness — MY + corridor.</w:t>
      </w:r>
      <w:r>
        <w:t xml:space="preserve"> BNM/SC/PMABA/AMLATFPUAA at home; FATF R.15/R.20 + Travel Rule, MAS PSN01/02 (SG), VARA/AMLC (UAE), AMLO (TH), PPATK (ID), MiCA horizon. He converts regimes → requirement rows in our backlog.</w:t>
      </w:r>
    </w:p>
    <w:p>
      <w:pPr>
        <w:pStyle w:val="ListBullet"/>
      </w:pPr>
      <w:r>
        <w:rPr>
          <w:b/>
        </w:rPr>
        <w:t>P2 Evidentiary standard.</w:t>
      </w:r>
      <w:r>
        <w:t xml:space="preserve"> Owns what "court-grade export" means; </w:t>
      </w:r>
      <w:r>
        <w:rPr>
          <w:b/>
        </w:rPr>
        <w:t>veto</w:t>
      </w:r>
      <w:r>
        <w:t xml:space="preserve"> on evidentiary claims. On-chain evidence is a new medium; admissibility law is his old law.</w:t>
      </w:r>
    </w:p>
    <w:p>
      <w:pPr>
        <w:pStyle w:val="ListBullet"/>
      </w:pPr>
      <w:r>
        <w:rPr>
          <w:b/>
        </w:rPr>
        <w:t>P3 Trust gatekeeper.</w:t>
      </w:r>
      <w:r>
        <w:t xml:space="preserve"> </w:t>
      </w:r>
      <w:r>
        <w:rPr>
          <w:b/>
        </w:rPr>
        <w:t>Veto</w:t>
      </w:r>
      <w:r>
        <w:t xml:space="preserve"> on sales claims/decks/webinars. Crypto buyers are the most claim-sensitive segment on earth — one overstated "we traced it" burns a corridor deal.</w:t>
      </w:r>
    </w:p>
    <w:p>
      <w:pPr>
        <w:pStyle w:val="ListBullet"/>
      </w:pPr>
      <w:r>
        <w:rPr>
          <w:b/>
        </w:rPr>
        <w:t>P4 Design partners &amp; references.</w:t>
      </w:r>
      <w:r>
        <w:t xml:space="preserve"> MY first, then corridor — network activation, not cold outreach.</w:t>
      </w:r>
    </w:p>
    <w:p>
      <w:pPr>
        <w:pStyle w:val="ListBullet"/>
      </w:pPr>
      <w:r>
        <w:rPr>
          <w:b/>
        </w:rPr>
        <w:t>P5 Regulator &amp; market presence.</w:t>
      </w:r>
      <w:r>
        <w:t xml:space="preserve"> Whitepaper in his name, BNM/SC engagement as compliance peer, corridor conference circuit by month 12.</w:t>
      </w:r>
    </w:p>
    <w:p>
      <w:pPr>
        <w:pStyle w:val="Heading1"/>
      </w:pPr>
      <w:r>
        <w:rPr>
          <w:color w:val="0B2D5C"/>
          <w:sz w:val="26"/>
        </w:rPr>
        <w:t>Who we're looking for</w:t>
      </w:r>
    </w:p>
    <w:p>
      <w:pPr>
        <w:pStyle w:val="ListBullet"/>
      </w:pPr>
      <w:r>
        <w:t>8+ yrs AML/financial-crime in banking/FI (MY or corridor): STR author, FIU-facing, regulator engagement, program builds.</w:t>
      </w:r>
    </w:p>
    <w:p>
      <w:pPr>
        <w:pStyle w:val="ListBullet"/>
      </w:pPr>
      <w:r>
        <w:t>Sanctions &amp; screening tooling depth; board-level reporting.</w:t>
      </w:r>
    </w:p>
    <w:p>
      <w:pPr>
        <w:pStyle w:val="ListBullet"/>
      </w:pPr>
      <w:r>
        <w:rPr>
          <w:b/>
        </w:rPr>
        <w:t>Crypto: not required.</w:t>
      </w:r>
      <w:r>
        <w:t xml:space="preserve"> Curiosity + completing the funded 30-day ramp is. CAMS a plus; any VA exposure a bonus, never a gate.</w:t>
      </w:r>
    </w:p>
    <w:p>
      <w:pPr>
        <w:pStyle w:val="ListBullet"/>
      </w:pPr>
      <w:r>
        <w:t>Can brief a room of MLROs without vendor fog. Writes well. Standing in the MY/corridor compliance community.</w:t>
      </w:r>
    </w:p>
    <w:p>
      <w:pPr>
        <w:pStyle w:val="Heading1"/>
      </w:pPr>
      <w:r>
        <w:rPr>
          <w:color w:val="0B2D5C"/>
          <w:sz w:val="26"/>
        </w:rPr>
        <w:t>What we give him</w:t>
      </w:r>
    </w:p>
    <w:p>
      <w:r>
        <w:t xml:space="preserve">Crypto education funded and scheduled · sandbox + live cases week 1 · direct engineering access, backlog honored · warm T1 doors opened by COO · his name on the whitepaper · conference budget · </w:t>
      </w:r>
      <w:r>
        <w:rPr>
          <w:b/>
        </w:rPr>
        <w:t>no year-1 sales quota</w:t>
      </w:r>
      <w:r>
        <w:t xml:space="preserve"> (category norm; TRM's own words: "activate a network you've already earned… not a traditional closing-quota sales role") · builder equity story.</w:t>
      </w:r>
    </w:p>
    <w:p>
      <w:pPr>
        <w:pStyle w:val="Heading1"/>
      </w:pPr>
      <w:r>
        <w:rPr>
          <w:color w:val="0B2D5C"/>
          <w:sz w:val="26"/>
        </w:rPr>
        <w:t>Guardrails</w:t>
      </w:r>
    </w:p>
    <w:p>
      <w:r>
        <w:t>No solicitation of current employer while employed (corridor via formal channels only) · independence: no side retainers that conflict with the veto seat · no commission pressure on trust functions · all his third-party-facing comms run the claims-audit workflow (self-audit, COO sign-off).</w:t>
      </w:r>
    </w:p>
    <w:p>
      <w:pPr>
        <w:pStyle w:val="Heading1"/>
      </w:pPr>
      <w:r>
        <w:rPr>
          <w:color w:val="0B2D5C"/>
          <w:sz w:val="26"/>
        </w:rPr>
        <w:t>Engagement modes</w:t>
      </w:r>
    </w:p>
    <w:p>
      <w:r>
        <w:rPr>
          <w:b/>
        </w:rPr>
        <w:t>A. Full-time head</w:t>
      </w:r>
      <w:r>
        <w:t xml:space="preserve"> — all five pillars, T0–T4 as contract objectives. </w:t>
      </w:r>
      <w:r>
        <w:rPr>
          <w:b/>
        </w:rPr>
        <w:t>B. Advisor retainer (2 days/wk)</w:t>
      </w:r>
      <w:r>
        <w:t xml:space="preserve"> — P1–P3 immediately, ramp compressed to days 1–14, P4/P5 deferred to hire #2; COI-clean pattern for an in-market senior.</w:t>
      </w:r>
    </w:p>
    <w:p>
      <w:r>
        <w:rPr>
          <w:i/>
          <w:color w:val="555F6B"/>
          <w:sz w:val="18"/>
        </w:rPr>
        <w:t>Band: indicative RM15–20k/mo (A); pro-rated (B). Owner confirmation before posting.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