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Position ID:</w:t>
      </w:r>
      <w:r>
        <w:t xml:space="preserve"> CS-AML-001</w:t>
      </w:r>
      <w:r>
        <w:rPr>
          <w:b/>
        </w:rPr>
        <w:t>Version:</w:t>
      </w:r>
      <w:r>
        <w:t xml:space="preserve"> v3 — supersedes v2 (26 Oct 2026)</w:t>
      </w:r>
      <w:r>
        <w:rPr>
          <w:b/>
        </w:rPr>
        <w:t>Owner:</w:t>
      </w:r>
      <w:r>
        <w:t xml:space="preserve"> Hadri (COO, approver) · </w:t>
      </w:r>
      <w:r>
        <w:rPr>
          <w:b/>
        </w:rPr>
        <w:t>Prepared:</w:t>
      </w:r>
      <w:r>
        <w:t xml:space="preserve"> Vesper · </w:t>
      </w:r>
      <w:r>
        <w:rPr>
          <w:b/>
        </w:rPr>
        <w:t>Band status:</w:t>
      </w:r>
      <w:r>
        <w:t xml:space="preserve"> INDICATIVE — owner confirmation before posting</w:t>
      </w:r>
      <w:r>
        <w:rPr>
          <w:b/>
        </w:rPr>
        <w:t>Company:</w:t>
      </w:r>
      <w:r>
        <w:t xml:space="preserve"> Aras Integrasi Sdn Bhd — ChainSentry Product Division</w:t>
      </w:r>
      <w:r>
        <w:rPr>
          <w:b/>
        </w:rPr>
        <w:t>Products:</w:t>
      </w:r>
      <w:r>
        <w:t xml:space="preserve"> ChainSentry (forensics &amp; E-KYC) with the chain: family — chain:HARVEST (wallet intelligence) and the identity layer</w:t>
      </w:r>
      <w:r>
        <w:rPr>
          <w:b/>
        </w:rPr>
        <w:t>Reports to:</w:t>
      </w:r>
      <w:r>
        <w:t xml:space="preserve"> Solutions Architect / Product Lead, ChainSentry — dotted line to COO for contractual and commercial matters</w:t>
      </w:r>
      <w:r>
        <w:rPr>
          <w:b/>
        </w:rPr>
        <w:t>Direct reports:</w:t>
      </w:r>
      <w:r>
        <w:t xml:space="preserve"> None at appointment; owns analyst/contractor support as the design-partner cohort scales</w:t>
      </w:r>
      <w:r>
        <w:rPr>
          <w:b/>
        </w:rPr>
        <w:t>Grade:</w:t>
      </w:r>
      <w:r>
        <w:t xml:space="preserve"> Senior Executive / Assistant Manager (4–8 years relevant experience)</w:t>
      </w:r>
      <w:r>
        <w:rPr>
          <w:b/>
        </w:rPr>
        <w:t>Location:</w:t>
      </w:r>
      <w:r>
        <w:t xml:space="preserve"> Kuala Lumpur, Malaysia (hybrid). </w:t>
      </w:r>
      <w:r>
        <w:rPr>
          <w:b/>
        </w:rPr>
        <w:t>Travel:</w:t>
      </w:r>
      <w:r>
        <w:t xml:space="preserve"> ~15–20% — Ho Chi Minh City, Bangkok, Dubai, occasionally Manama, Istanbul, Zürich</w:t>
      </w:r>
      <w:r>
        <w:rPr>
          <w:b/>
        </w:rPr>
        <w:t>Type:</w:t>
      </w:r>
      <w:r>
        <w:t xml:space="preserve"> Full-time, permanent; three-month probation with structured objectives (Section 9)</w:t>
      </w:r>
      <w:r>
        <w:rPr>
          <w:b/>
        </w:rPr>
        <w:t>Remuneration:</w:t>
      </w:r>
      <w:r>
        <w:t xml:space="preserve"> Competitive band aligned to Malaysian financial-crime market norms (band confirmed by COO before posting); medical, travel allowance, funded CAMS/ICA renewal, professional-body membership</w:t>
      </w:r>
    </w:p>
    <w:p>
      <w:pPr>
        <w:pStyle w:val="Heading2"/>
      </w:pPr>
      <w:r>
        <w:t>1. About Aras Integrasi and ChainSentry</w:t>
      </w:r>
    </w:p>
    <w:p>
      <w:r>
        <w:t xml:space="preserve">Aras Integrasi Sdn Bhd is a Malaysian technology and security integrator with an established government and regulated-industry client base, including national security-agency deployments. </w:t>
      </w:r>
      <w:r>
        <w:rPr>
          <w:b/>
        </w:rPr>
        <w:t>ChainSentry</w:t>
      </w:r>
      <w:r>
        <w:t xml:space="preserve"> is the company's sovereign blockchain-forensics and E-KYC product line, built for governments, financial-intelligence units (FIUs), banks and licensed virtual-asset service providers (VASPs) that US-cloud-incumbent vendors price out, cannot serve on data-residency grounds, or leave blind on Gulf–Southeast Asia–BRICS correspondent corridors.</w:t>
      </w:r>
    </w:p>
    <w:p>
      <w:r>
        <w:t>Three principles define the product and are the standard against which this role's outputs are judged:</w:t>
      </w:r>
    </w:p>
    <w:p>
      <w:pPr>
        <w:pStyle w:val="ListBullet"/>
      </w:pPr>
      <w:r>
        <w:t>Sovereign deployment. A customer's cases never leave the customer's jurisdiction. The product runs on-premises or in a jurisdiction-locked hosted instance the customer can audit.</w:t>
      </w:r>
    </w:p>
    <w:p>
      <w:pPr>
        <w:pStyle w:val="ListBullet"/>
      </w:pPr>
      <w:r>
        <w:t>Corridor coverage. Sourced, measurable attribution depth on the USDT/TRON Gulf-to-SEA off-ramp graph and adjacent MENA/SEA corridors — the graphs the incumbents underlabel.</w:t>
      </w:r>
    </w:p>
    <w:p>
      <w:pPr>
        <w:pStyle w:val="ListBullet"/>
      </w:pPr>
      <w:r>
        <w:t>Auditability. Detection methodology, label provenance and per-corridor precision/recall are published, not proprietary. Every label is expected to be defensible in the customer's court.</w:t>
      </w:r>
    </w:p>
    <w:p>
      <w:r>
        <w:t>The product family now spans three layers: ChainSentry forensics, chain:HARVEST wallet-intelligence harvesting (a continuously updated corpus of tens of thousands of checksum-validated wallet attributions drawn from dark-web, Telegram, ransomware-leak and sanctions sources, with an embedded OFAC screening engine), and an identity-assurance layer drawing on a university E-KYC research pipeline (tamper-resistant document authentication and liveness detection). A design-partner cohort of ~120 candidate institutions is being assembled across Malaysia, Vietnam, Thailand, the Philippines, Indonesia, Singapore, the UAE, Bahrain, Saudi Arabia, Qatar, Kuwait, Oman, Jordan, Turkey, Egypt, Lebanon, Morocco and Switzerland — regulators and FIUs, licensed exchanges and e-money institutions, banks and tokenisation platforms, and professional-services channels.</w:t>
      </w:r>
    </w:p>
    <w:p>
      <w:r>
        <w:rPr>
          <w:b/>
        </w:rPr>
        <w:t>Why this role exists:</w:t>
      </w:r>
      <w:r>
        <w:t xml:space="preserve"> ChainSentry's go-to-market is compliance-led. Supervisors and supervised entities adopt a tracing tool only when the methodology is defensible before their courts, the data handling satisfies their laws, and the vendor can sit across the table from an examiner as a credible peer. Today that discipline is carried informally by engineering and the product lead. This role makes it a function: pilots become lawful, evidence-preserving engagements; the attribution corpus stays defensible; regulators are answered in their own language. It does not replace sales — it makes sales compliant and pilots defensible.</w:t>
      </w:r>
    </w:p>
    <w:p>
      <w:pPr>
        <w:pStyle w:val="Heading2"/>
      </w:pPr>
      <w:r>
        <w:t>2. About the Role</w:t>
      </w:r>
    </w:p>
    <w:p>
      <w:r>
        <w:t>You will be the named AML/CFT subject-matter expert of a sovereign blockchain-forensics product in market. You will own the compliance posture of the design-partner programme, the sanctions and watchlist integrity of the attribution corpus, and the company's written and spoken presence before regulators, FIUs and law-enforcement financial-crime units — while staying a hands-on practitioner: casework, screening, drafting. You will operate as the named officer of record for financial-crime substance in this product line, reporting to the product lead with a commercial dotted line to the COO.</w:t>
      </w:r>
    </w:p>
    <w:p>
      <w:pPr>
        <w:pStyle w:val="Heading2"/>
      </w:pPr>
      <w:r>
        <w:t>3. Key Responsibilities</w:t>
      </w:r>
    </w:p>
    <w:p>
      <w:pPr>
        <w:pStyle w:val="Heading3"/>
      </w:pPr>
      <w:r>
        <w:t>3.1 Compliance-by-design for pilots and design partners</w:t>
      </w:r>
    </w:p>
    <w:p>
      <w:pPr>
        <w:pStyle w:val="ListBullet"/>
      </w:pPr>
      <w:r>
        <w:t>Draft, negotiate and administer the design-partner agreement suite: pilot term sheets, written-reference and quotation clauses, sanitised labelled-case contribution terms, and the data-rights clause that treats a pilot's labelled dispositions as paid consideration.</w:t>
      </w:r>
    </w:p>
    <w:p>
      <w:pPr>
        <w:pStyle w:val="ListBullet"/>
      </w:pPr>
      <w:r>
        <w:t>Maintain the pilot compliance matrix — legal basis, cross-border data categories, hosting location, retention and destruction/return obligations — for every active pilot.</w:t>
      </w:r>
    </w:p>
    <w:p>
      <w:pPr>
        <w:pStyle w:val="ListBullet"/>
      </w:pPr>
      <w:r>
        <w:t>Pre-empt jurisdiction blockers as a habit: Malaysian PDPA and AMLA 2001 handling for law-enforcement and reporting-institution data; Swiss banking-secrecy treatment for FIU-type submissions; UAE federal and emirate-level rules across VARA and SCA regimes; Vietnamese and Egyptian pilot-documentation obligations.</w:t>
      </w:r>
    </w:p>
    <w:p>
      <w:pPr>
        <w:pStyle w:val="ListBullet"/>
      </w:pPr>
      <w:r>
        <w:t>Run pre-launch compliance reviews with engineering and close-out reviews that certify what corpus material may lawfully return to the shared corpus, in what sanitised form, under which clause.</w:t>
      </w:r>
    </w:p>
    <w:p>
      <w:pPr>
        <w:pStyle w:val="Heading3"/>
      </w:pPr>
      <w:r>
        <w:t>3.2 Crypto AML operations: sanctions and corpus integrity</w:t>
      </w:r>
    </w:p>
    <w:p>
      <w:pPr>
        <w:pStyle w:val="ListBullet"/>
      </w:pPr>
      <w:r>
        <w:t>Own the sanctioned-address and watchlist labelling pipeline end to end: OFAC SDN, EU, UK (OFSI) and UN lists, court-document addresses, ransomware-payment trackers and takedown archives converted into deterministic, versioned, source-cited seed labels.</w:t>
      </w:r>
    </w:p>
    <w:p>
      <w:pPr>
        <w:pStyle w:val="ListBullet"/>
      </w:pPr>
      <w:r>
        <w:t>Define label acceptance criteria and QA machine-generated clusters; nothing enters the production corpus without a provenance chain that survives the question "where did this attribution come from?"</w:t>
      </w:r>
    </w:p>
    <w:p>
      <w:pPr>
        <w:pStyle w:val="ListBullet"/>
      </w:pPr>
      <w:r>
        <w:t>Operate and tune the sanctions-screening engine for corridor clusters and settlement rails — match-type weighting, coin-type validation, false-positive handling, escalation paths.</w:t>
      </w:r>
    </w:p>
    <w:p>
      <w:pPr>
        <w:pStyle w:val="ListBullet"/>
      </w:pPr>
      <w:r>
        <w:t>Stay current on the emerging typologies the corridor produces — bridge-exploit fund dispersal, privacy-coin conversion flows (shielded/transparent transitions), cross-chain hop obscuration, stolen-funds laundering-as-a-service — and convert them into detection and label logic.</w:t>
      </w:r>
    </w:p>
    <w:p>
      <w:pPr>
        <w:pStyle w:val="Heading3"/>
      </w:pPr>
      <w:r>
        <w:t>3.3 Typology casework and court-grade reporting</w:t>
      </w:r>
    </w:p>
    <w:p>
      <w:pPr>
        <w:pStyle w:val="ListBullet"/>
      </w:pPr>
      <w:r>
        <w:t>Conduct blockchain tracing casework during pilots: mule-network mapping, scam-centre fund-flow reconstruction, exchange off-ramp identification, mixer and peel-chain handling, cross-chain bridge hops.</w:t>
      </w:r>
    </w:p>
    <w:p>
      <w:pPr>
        <w:pStyle w:val="ListBullet"/>
      </w:pPr>
      <w:r>
        <w:t>Produce tracing reports at brief and court grade (MY, UAE and CH flavours) with methodology statements, evidence and source citations, limitations, reproducibility appendices and a plain-language executive summary an investigator can forward unedited.</w:t>
      </w:r>
    </w:p>
    <w:p>
      <w:pPr>
        <w:pStyle w:val="ListBullet"/>
      </w:pPr>
      <w:r>
        <w:t>Support law-enforcement design partners through their internal processes — investigation-paper support in the Malaysian flavour, jointly agreed cases, within agreed data boundaries.</w:t>
      </w:r>
    </w:p>
    <w:p>
      <w:pPr>
        <w:pStyle w:val="ListBullet"/>
      </w:pPr>
      <w:r>
        <w:t>Build the report-template library from real cases; iterate against actual reader feedback at customer institutions.</w:t>
      </w:r>
    </w:p>
    <w:p>
      <w:pPr>
        <w:pStyle w:val="Heading3"/>
      </w:pPr>
      <w:r>
        <w:t>3.4 Regulatory, FIU and law-enforcement engagement</w:t>
      </w:r>
    </w:p>
    <w:p>
      <w:pPr>
        <w:pStyle w:val="ListBullet"/>
      </w:pPr>
      <w:r>
        <w:t>Serve as technical-compliance counterpart for Bank Negara Malaysia (Financial Integrity/Payments), Securities Commission Malaysia, VARA, SCA, the UAE FIU, Bahrain's CBB, Turkey's MASAK and SPK, Egypt's FRA and FIU, and Swiss FIU-class bodies.</w:t>
      </w:r>
    </w:p>
    <w:p>
      <w:pPr>
        <w:pStyle w:val="ListBullet"/>
      </w:pPr>
      <w:r>
        <w:t>Author supervisory-grade artefacts: discussion papers, public-consultation responses arguing proportionate surveillance standards, baseline guidance (for example, "AML/CFT expectations for a newly licensed digital-asset exchange").</w:t>
      </w:r>
    </w:p>
    <w:p>
      <w:pPr>
        <w:pStyle w:val="ListBullet"/>
      </w:pPr>
      <w:r>
        <w:t>Prepare and co-present capability briefings to investigator audiences on methodology and recorded public-data output.</w:t>
      </w:r>
    </w:p>
    <w:p>
      <w:pPr>
        <w:pStyle w:val="ListBullet"/>
      </w:pPr>
      <w:r>
        <w:t>Support MENAFATF/FATF-adjacent positioning: Recommendation 15 coverage, Travel Rule obligations and implementation practice across the roster states.</w:t>
      </w:r>
    </w:p>
    <w:p>
      <w:pPr>
        <w:pStyle w:val="Heading3"/>
      </w:pPr>
      <w:r>
        <w:t>3.5 Commercial, bid and enablement support</w:t>
      </w:r>
    </w:p>
    <w:p>
      <w:pPr>
        <w:pStyle w:val="ListBullet"/>
      </w:pPr>
      <w:r>
        <w:t>Act as named AML/CFT SME on RFP/tender responses and supplier due-diligence questionnaires; own the reusable compliance-answers library.</w:t>
      </w:r>
    </w:p>
    <w:p>
      <w:pPr>
        <w:pStyle w:val="ListBullet"/>
      </w:pPr>
      <w:r>
        <w:t>Review prospects' AML policies, travel-rule posture and tooling as the diagnostic hook of "day-one AML" bundles for newly licensed VASPs.</w:t>
      </w:r>
    </w:p>
    <w:p>
      <w:pPr>
        <w:pStyle w:val="ListBullet"/>
      </w:pPr>
      <w:r>
        <w:t>Support pricing conversations on compliance substance — what a proportionate licence covers, what an address-band includes, why seat-based incumbent pricing misaligns for supervised SMBs.</w:t>
      </w:r>
    </w:p>
    <w:p>
      <w:pPr>
        <w:pStyle w:val="ListBullet"/>
      </w:pPr>
      <w:r>
        <w:t>Deliver methodology workshops and investigator training during pilots.</w:t>
      </w:r>
    </w:p>
    <w:p>
      <w:pPr>
        <w:pStyle w:val="Heading3"/>
      </w:pPr>
      <w:r>
        <w:t>3.6 Internal influence and product feedback</w:t>
      </w:r>
    </w:p>
    <w:p>
      <w:pPr>
        <w:pStyle w:val="ListBullet"/>
      </w:pPr>
      <w:r>
        <w:t>Convert pilot friction into product backlog: data-handling gaps, report-format gaps, audit-log requirements, jurisdiction-specific features.</w:t>
      </w:r>
    </w:p>
    <w:p>
      <w:pPr>
        <w:pStyle w:val="ListBullet"/>
      </w:pPr>
      <w:r>
        <w:t>Hold standing recommend-block authority in corpus and pilot reviews on unlawful data movement — the recommendation is recorded; engineering is required to answer.</w:t>
      </w:r>
    </w:p>
    <w:p>
      <w:pPr>
        <w:pStyle w:val="Heading2"/>
      </w:pPr>
      <w:r>
        <w:t>4. Success in the First Twelve Months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Horizon</w:t>
            </w:r>
          </w:p>
        </w:tc>
        <w:tc>
          <w:tcPr>
            <w:tcW w:type="dxa" w:w="4819"/>
          </w:tcPr>
          <w:p>
            <w:r>
              <w:rPr>
                <w:b/>
              </w:rPr>
              <w:t>Outcome — acceptance-test wording</w:t>
            </w:r>
          </w:p>
        </w:tc>
      </w:tr>
      <w:tr>
        <w:tc>
          <w:tcPr>
            <w:tcW w:type="dxa" w:w="4819"/>
          </w:tcPr>
          <w:p>
            <w:r>
              <w:t>Day 30</w:t>
            </w:r>
          </w:p>
        </w:tc>
        <w:tc>
          <w:tcPr>
            <w:tcW w:type="dxa" w:w="4819"/>
          </w:tcPr>
          <w:p>
            <w:r>
              <w:t>Pilot agreement suite + data-rights annex drafted; jurisdictional legal map covering the seed markets produced with named blockers escalated in writing</w:t>
            </w:r>
          </w:p>
        </w:tc>
      </w:tr>
      <w:tr>
        <w:tc>
          <w:tcPr>
            <w:tcW w:type="dxa" w:w="4819"/>
          </w:tcPr>
          <w:p>
            <w:r>
              <w:t>Day 90</w:t>
            </w:r>
          </w:p>
        </w:tc>
        <w:tc>
          <w:tcPr>
            <w:tcW w:type="dxa" w:w="4819"/>
          </w:tcPr>
          <w:p>
            <w:r>
              <w:t>100% of signed pilots on the compliance template; sanctions/watchlist labelling pipeline operational with weekly refresh (&lt;48h from list publication); first MY-flavour court-grade report accepted by a design partner</w:t>
            </w:r>
          </w:p>
        </w:tc>
      </w:tr>
      <w:tr>
        <w:tc>
          <w:tcPr>
            <w:tcW w:type="dxa" w:w="4819"/>
          </w:tcPr>
          <w:p>
            <w:r>
              <w:t>Month 6</w:t>
            </w:r>
          </w:p>
        </w:tc>
        <w:tc>
          <w:tcPr>
            <w:tcW w:type="dxa" w:w="4819"/>
          </w:tcPr>
          <w:p>
            <w:r>
              <w:t>Sanctions screening live for at least two design-partner use cases with documented false-positive handling; first public artefact (consultation response or methodology section) submitted; analyst supervision begun as cohort scales</w:t>
            </w:r>
          </w:p>
        </w:tc>
      </w:tr>
      <w:tr>
        <w:tc>
          <w:tcPr>
            <w:tcW w:type="dxa" w:w="4819"/>
          </w:tcPr>
          <w:p>
            <w:r>
              <w:t>Month 12</w:t>
            </w:r>
          </w:p>
        </w:tc>
        <w:tc>
          <w:tcPr>
            <w:tcW w:type="dxa" w:w="4819"/>
          </w:tcPr>
          <w:p>
            <w:r>
              <w:t>≥8 design partners on active, compliant pilots with zero unresolved compliance findings; label-provenance QA at 100% of the production corpus; precision/recall methodology published for one corridor; ≥2 customer-named written references enabled (1 government, 1 VASP)</w:t>
            </w:r>
          </w:p>
        </w:tc>
      </w:tr>
    </w:tbl>
    <w:p>
      <w:pPr>
        <w:pStyle w:val="Heading2"/>
      </w:pPr>
      <w:r>
        <w:t>5. About You</w:t>
      </w:r>
    </w:p>
    <w:p>
      <w:r>
        <w:rPr>
          <w:b/>
        </w:rPr>
        <w:t>Required</w:t>
      </w:r>
    </w:p>
    <w:p>
      <w:pPr>
        <w:pStyle w:val="ListBullet"/>
      </w:pPr>
      <w:r>
        <w:t>4–8 years in AML/CFT, financial-crime compliance or financial-crime investigations, of which at least 2 years hands-on with blockchain/digital-asset crime: typologies, on-chain tracing, exchange risk monitoring, Travel Rule operations.</w:t>
      </w:r>
    </w:p>
    <w:p>
      <w:pPr>
        <w:pStyle w:val="ListBullet"/>
      </w:pPr>
      <w:r>
        <w:t>Perspective earned on the buy side or enforcement side: VASP compliance function, bank AML/CFT or transaction-monitoring unit, FIU analyst, law-enforcement financial-crime analyst, or a forensic/consultancy crypto-investigations practice. Vendor-side pre-sales alone does not satisfy this.</w:t>
      </w:r>
    </w:p>
    <w:p>
      <w:pPr>
        <w:pStyle w:val="ListBullet"/>
      </w:pPr>
      <w:r>
        <w:t>Working fluency in FATF standards as applied to virtual assets (Recommendation 15, Travel Rule/IVMS101), plus demonstrated working knowledge of at least one of: Malaysian AMLA 2001 with BNM/SC digital-asset policy; the UAE federal framework with VARA/SCA rulebooks; Turkish Law No. 7518 with MASAK regulation; Swiss GATA/AMLO and VQF-class SRO practice; Egyptian Law 162/2023 with FRA regulations.</w:t>
      </w:r>
    </w:p>
    <w:p>
      <w:pPr>
        <w:pStyle w:val="ListBullet"/>
      </w:pPr>
      <w:r>
        <w:t>Able to follow USDT-on-TRON through peel chains, peel-and-return patterns, mixer entry and bridge hops using public explorers and clustering tooling without assistance. You do not write production code, but you never need tracing done for you.</w:t>
      </w:r>
    </w:p>
    <w:p>
      <w:pPr>
        <w:pStyle w:val="ListBullet"/>
      </w:pPr>
      <w:r>
        <w:t>Regulatory-grade English prose; writing sample required at shortlist.</w:t>
      </w:r>
    </w:p>
    <w:p>
      <w:pPr>
        <w:pStyle w:val="ListBullet"/>
      </w:pPr>
      <w:r>
        <w:t>Comfortable with law-enforcement-grade material: classification, need-to-know and chain-of-custody as habits, not policies.</w:t>
      </w:r>
    </w:p>
    <w:p>
      <w:pPr>
        <w:pStyle w:val="ListBullet"/>
      </w:pPr>
      <w:r>
        <w:t>CAMS active, or committed within 12 months with employer-supported study.</w:t>
      </w:r>
    </w:p>
    <w:p>
      <w:r>
        <w:rPr>
          <w:b/>
        </w:rPr>
        <w:t>Nice to have</w:t>
      </w:r>
    </w:p>
    <w:p>
      <w:pPr>
        <w:pStyle w:val="ListBullet"/>
      </w:pPr>
      <w:r>
        <w:t>Certification: CFCS, ICA, CICAM or equivalent.</w:t>
      </w:r>
    </w:p>
    <w:p>
      <w:pPr>
        <w:pStyle w:val="ListBullet"/>
      </w:pPr>
      <w:r>
        <w:t>Operating experience on incumbent tracing platforms (Chainalysis, TRM Labs, Elliptic) — you will help compete against them honestly, including on import/export compatibility.</w:t>
      </w:r>
    </w:p>
    <w:p>
      <w:pPr>
        <w:pStyle w:val="ListBullet"/>
      </w:pPr>
      <w:r>
        <w:t>Privacy-coin typology depth (Zcash transparent/shielded econometrics, Monero view-key practice) — a deliberate product wedge.</w:t>
      </w:r>
    </w:p>
    <w:p>
      <w:pPr>
        <w:pStyle w:val="ListBullet"/>
      </w:pPr>
      <w:r>
        <w:t>Published AML/CFT or digital-asset policy writing; expert-witness or consultation-submission history.</w:t>
      </w:r>
    </w:p>
    <w:p>
      <w:pPr>
        <w:pStyle w:val="ListBullet"/>
      </w:pPr>
      <w:r>
        <w:t>E-KYC/fraud-assurance awareness (document authentication, deepfake detection, identity assurance levels) — the identity console falls inside this role's advisory perimeter.</w:t>
      </w:r>
    </w:p>
    <w:p>
      <w:pPr>
        <w:pStyle w:val="ListBullet"/>
      </w:pPr>
      <w:r>
        <w:t>Languages: English mandatory (written); Malay strong advantage; Arabic, Turkish, Vietnamese or Russian genuine differentiators.</w:t>
      </w:r>
    </w:p>
    <w:p>
      <w:pPr>
        <w:pStyle w:val="Heading2"/>
      </w:pPr>
      <w:r>
        <w:t>6. What We Offer</w:t>
      </w:r>
    </w:p>
    <w:p>
      <w:pPr>
        <w:pStyle w:val="ListBullet"/>
      </w:pPr>
      <w:r>
        <w:t>Genuine ownership: the compliance doctrine of a sovereign blockchain-forensics product is written by this role, not inherited.</w:t>
      </w:r>
    </w:p>
    <w:p>
      <w:pPr>
        <w:pStyle w:val="ListBullet"/>
      </w:pPr>
      <w:r>
        <w:t>Year-one exposure to central banks, FIUs and police financial-crime units across three continents.</w:t>
      </w:r>
    </w:p>
    <w:p>
      <w:pPr>
        <w:pStyle w:val="ListBullet"/>
      </w:pPr>
      <w:r>
        <w:t>Authority matched to accountability — blocking recommendations are recorded and answered, not absorbed.</w:t>
      </w:r>
    </w:p>
    <w:p>
      <w:pPr>
        <w:pStyle w:val="ListBullet"/>
      </w:pPr>
      <w:r>
        <w:t>Funded certification and professional-body participation; publication credit under your own name.</w:t>
      </w:r>
    </w:p>
    <w:p>
      <w:pPr>
        <w:pStyle w:val="ListBullet"/>
      </w:pPr>
      <w:r>
        <w:t>A small team, direct access to leadership, and a stated kill/continue culture: honest bad news is valued over managed optimism.</w:t>
      </w:r>
    </w:p>
    <w:p>
      <w:pPr>
        <w:pStyle w:val="Heading2"/>
      </w:pPr>
      <w:r>
        <w:t>7. Engagement Terms</w:t>
      </w:r>
    </w:p>
    <w:p>
      <w:r>
        <w:t xml:space="preserve">Full-time, permanent; KL hybrid; band </w:t>
      </w:r>
      <w:r>
        <w:rPr>
          <w:b/>
        </w:rPr>
        <w:t>INDICATIVE pending COO confirmation before any posting</w:t>
      </w:r>
      <w:r>
        <w:t>; probation three months with structured objectives; formal NDA and classification discipline from day one. Alternative engagement modes (senior fractional / advisory retainer) may be discussed for exceptional candidates; the default is employment.</w:t>
      </w:r>
    </w:p>
    <w:p>
      <w:pPr>
        <w:pStyle w:val="Heading2"/>
      </w:pPr>
      <w:r>
        <w:t>8. Application Process</w:t>
      </w:r>
    </w:p>
    <w:p>
      <w:r>
        <w:t xml:space="preserve">Submit CV plus a one-page writing sample responding to: *"What should a newly licensed digital-asset exchange in your jurisdiction be required to have in place on day one for transaction monitoring — and what is proportionate?"* Shortlisted candidates complete a live public-chain tracing exercise and a clause-negotiation conversation with the hiring panel. Applications to </w:t>
      </w:r>
      <w:r>
        <w:rPr>
          <w:b/>
        </w:rPr>
        <w:t>[careers contact — confirm before posting]</w:t>
      </w:r>
      <w:r>
        <w:t>.</w:t>
      </w:r>
    </w:p>
    <w:p>
      <w:pPr>
        <w:pStyle w:val="Heading2"/>
      </w:pPr>
      <w:r>
        <w:t>Appendix — Benchmarks, Comparator Grammar and Verification Ledger</w:t>
      </w:r>
    </w:p>
    <w:p>
      <w:r>
        <w:rPr>
          <w:b/>
        </w:rPr>
        <w:t>REMOVE BEFORE POSTING</w:t>
      </w:r>
    </w:p>
    <w:p>
      <w:r>
        <w:rPr>
          <w:b/>
        </w:rPr>
        <w:t>Comparator JDs (genre grammar; never content):</w:t>
      </w:r>
    </w:p>
    <w:p>
      <w:pPr>
        <w:pStyle w:val="ListBullet"/>
      </w:pPr>
      <w:r>
        <w:t>Binance — "Compliance Analyst (Corporate Enhanced Due Diligence)" (Greenhouse id 5002273101, HK/MY/SG/TW), pulled 2026-10-29: EDD-review ownership grammar; "Provide AML/CFT subject matter expertise" as a standalone duty; bilingual coordination line.</w:t>
      </w:r>
    </w:p>
    <w:p>
      <w:pPr>
        <w:pStyle w:val="ListBullet"/>
      </w:pPr>
      <w:r>
        <w:t>Binance — "Blockchain Engineer – Binance Wallet" (Greenhouse id 5002619101), pulled 2026-10-29: on-chain data acquisition/parsing/indexing verb stack (used in the companion developer JD CS-DEV-001).</w:t>
      </w:r>
    </w:p>
    <w:p>
      <w:pPr>
        <w:pStyle w:val="ListBullet"/>
      </w:pPr>
      <w:r>
        <w:t>Coinbase board scan, 2026-10-29 (228 jobs): "Compliance, Threat &amp; Risk Assessment Manager" — risk-assessment manager titling grammar; Ripple board scan (108 jobs) — no AML-class openings; noted for coverage.</w:t>
      </w:r>
    </w:p>
    <w:p>
      <w:r>
        <w:rPr>
          <w:b/>
        </w:rPr>
        <w:t>Verification ledger:</w:t>
      </w:r>
    </w:p>
    <w:p>
      <w:pPr>
        <w:pStyle w:val="ListBullet"/>
      </w:pPr>
      <w:r>
        <w:t>[FACT] Company, product family, positioning, corridor list, E-KYC layer, cohort composition — ChainSentry pipeline repo (strategy doctrine, activation suite, contact/roster files), read 2026-10-29.</w:t>
      </w:r>
    </w:p>
    <w:p>
      <w:pPr>
        <w:pStyle w:val="ListBullet"/>
      </w:pPr>
      <w:r>
        <w:t>[FACT] chain:HARVEST corpus scale and OFAC engine — repo README v3.3.0 + OFAC_COMPLIANCE.md, read 2026-10-29.</w:t>
      </w:r>
    </w:p>
    <w:p>
      <w:pPr>
        <w:pStyle w:val="ListBullet"/>
      </w:pPr>
      <w:r>
        <w:t>[INDICATIVE] Salary band, benefits detail, travel percentage — pending COO confirmation before posting.</w:t>
      </w:r>
    </w:p>
    <w:p>
      <w:pPr>
        <w:pStyle w:val="ListBullet"/>
      </w:pPr>
      <w:r>
        <w:t>[UNKNOWN] Careers contact — to be inserted before posting.</w:t>
      </w:r>
    </w:p>
    <w:p>
      <w:pPr>
        <w:pStyle w:val="ListBullet"/>
      </w:pPr>
      <w:r>
        <w:t>Supersedes: JD-AML-CFT-SPECIALIST v2 (26 Oct 2026). Changes in v3: posting-voice restructure; crypto-operations emphasis (corpus/labelling QA as operational ownership, not abstractions); privacy-coin wedge added; twelve-month table compressed to acceptance-test rows; comparator refresh same-day.</w:t>
      </w:r>
    </w:p>
    <w:p>
      <w:r>
        <w:t>*— End of document —*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Aras Integrasi Sdn Bhd — Confidential (internal draft pending approval)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ChainSentry — Position CS-AML-001 v3 | INDICATIVE band — internal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">
    <w:name w:val="BodyText"/>
    <w:rPr>
      <w:rFonts w:ascii="Calibri" w:hAnsi="Calibri"/>
      <w:color w:val="1A1A1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