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B2D5C"/>
        </w:rPr>
        <w:t>Head of Financial Crime Compliance — ChainSentry</w:t>
      </w:r>
    </w:p>
    <w:p>
      <w:r>
        <w:rPr>
          <w:b w:val="0"/>
          <w:i w:val="0"/>
          <w:color w:val="555B66"/>
        </w:rPr>
        <w:t>Aras Integrasi Sdn Bhd · ChainSentry (blockchain forensics, sovereign-deployable) · KL/hybrid · FT or Senior Advisor retainer</w:t>
      </w:r>
    </w:p>
    <w:p>
      <w:r>
        <w:rPr>
          <w:b w:val="0"/>
          <w:i w:val="0"/>
          <w:color w:val="555B66"/>
        </w:rPr>
        <w:t>v1 · 15-Oct-2026 · owner: Hadri</w:t>
      </w:r>
    </w:p>
    <w:p>
      <w:pPr>
        <w:pStyle w:val="Heading2"/>
      </w:pPr>
      <w:r>
        <w:rPr>
          <w:color w:val="0B2D5C"/>
        </w:rPr>
        <w:t>Why this role exists</w:t>
      </w:r>
    </w:p>
    <w:p>
      <w:r>
        <w:rPr>
          <w:b w:val="0"/>
          <w:i w:val="0"/>
        </w:rPr>
        <w:t>ChainSentry's engineering is real; its trust is not yet built. Buyers of forensics are MLROs, CCOs and FIU officers who only trust vendors whose methodology survives a BNM examination, whose case files survive a court challenge, and whose salesperson has personally filed the STR they're now being examined for. This role owns ChainSentry's compliance credibility end-to-end — product requirements, evidentiary standard, regulator engagement, design-partner trust.</w:t>
      </w:r>
    </w:p>
    <w:p>
      <w:pPr>
        <w:pStyle w:val="Heading2"/>
      </w:pPr>
      <w:r>
        <w:rPr>
          <w:color w:val="0B2D5C"/>
        </w:rPr>
        <w:t>Mission</w:t>
      </w:r>
    </w:p>
    <w:p>
      <w:r>
        <w:rPr>
          <w:b/>
          <w:i w:val="0"/>
        </w:rPr>
        <w:t>Make ChainSentry the blockchain-tracing product a Malaysian bank, DAX or FIU can defend choosing — to their board, to BNM/SC, and in court.</w:t>
      </w:r>
    </w:p>
    <w:p>
      <w:pPr>
        <w:pStyle w:val="Heading2"/>
      </w:pPr>
      <w:r>
        <w:rPr>
          <w:color w:val="0B2D5C"/>
        </w:rPr>
        <w:t>What he owns — five pillars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Pillar</w:t>
            </w:r>
          </w:p>
        </w:tc>
        <w:tc>
          <w:tcPr>
            <w:tcW w:type="dxa" w:w="2880"/>
          </w:tcPr>
          <w:p>
            <w:r>
              <w:t>Scope</w:t>
            </w:r>
          </w:p>
        </w:tc>
        <w:tc>
          <w:tcPr>
            <w:tcW w:type="dxa" w:w="2880"/>
          </w:tcPr>
          <w:p>
            <w:r>
              <w:t>Authority</w:t>
            </w:r>
          </w:p>
        </w:tc>
      </w:tr>
      <w:tr>
        <w:tc>
          <w:tcPr>
            <w:tcW w:type="dxa" w:w="2880"/>
          </w:tcPr>
          <w:p>
            <w:r>
              <w:t>P1 Regulatory requirements → product</w:t>
            </w:r>
          </w:p>
        </w:tc>
        <w:tc>
          <w:tcPr>
            <w:tcW w:type="dxa" w:w="2880"/>
          </w:tcPr>
          <w:p>
            <w:r>
              <w:t>Map BNM AML/CFT Policy, SC RM Guidelines 2025, PMABA, AMLATFPUAA 2001, FATF Rec. 15/R.20 to concrete features; own requirements spec to engineering</w:t>
            </w:r>
          </w:p>
        </w:tc>
        <w:tc>
          <w:tcPr>
            <w:tcW w:type="dxa" w:w="2880"/>
          </w:tcPr>
          <w:p>
            <w:r>
              <w:t>Sets trust-feature backlog priorities</w:t>
            </w:r>
          </w:p>
        </w:tc>
      </w:tr>
      <w:tr>
        <w:tc>
          <w:tcPr>
            <w:tcW w:type="dxa" w:w="2880"/>
          </w:tcPr>
          <w:p>
            <w:r>
              <w:t>P2 Evidentiary standard</w:t>
            </w:r>
          </w:p>
        </w:tc>
        <w:tc>
          <w:tcPr>
            <w:tcW w:type="dxa" w:w="2880"/>
          </w:tcPr>
          <w:p>
            <w:r>
              <w:t>Own chain-of-custody + court-grade export; validate tracing outputs stand as evidence</w:t>
            </w:r>
          </w:p>
        </w:tc>
        <w:tc>
          <w:tcPr>
            <w:tcW w:type="dxa" w:w="2880"/>
          </w:tcPr>
          <w:p>
            <w:r>
              <w:t>VETO on any evidentiary claim</w:t>
            </w:r>
          </w:p>
        </w:tc>
      </w:tr>
      <w:tr>
        <w:tc>
          <w:tcPr>
            <w:tcW w:type="dxa" w:w="2880"/>
          </w:tcPr>
          <w:p>
            <w:r>
              <w:t>P3 Trust gatekeeper</w:t>
            </w:r>
          </w:p>
        </w:tc>
        <w:tc>
          <w:tcPr>
            <w:tcW w:type="dxa" w:w="2880"/>
          </w:tcPr>
          <w:p>
            <w:r>
              <w:t>Review every sales claim/deck/webinar vs what the product can do and compliance can lawfully assert</w:t>
            </w:r>
          </w:p>
        </w:tc>
        <w:tc>
          <w:tcPr>
            <w:tcW w:type="dxa" w:w="2880"/>
          </w:tcPr>
          <w:p>
            <w:r>
              <w:t>VETO on claims</w:t>
            </w:r>
          </w:p>
        </w:tc>
      </w:tr>
      <w:tr>
        <w:tc>
          <w:tcPr>
            <w:tcW w:type="dxa" w:w="2880"/>
          </w:tcPr>
          <w:p>
            <w:r>
              <w:t>P4 Design-partner program</w:t>
            </w:r>
          </w:p>
        </w:tc>
        <w:tc>
          <w:tcPr>
            <w:tcW w:type="dxa" w:w="2880"/>
          </w:tcPr>
          <w:p>
            <w:r>
              <w:t>Recruit 2–3 design partners (his network + roster T1s); pilot-compliance playbook; convert to named references</w:t>
            </w:r>
          </w:p>
        </w:tc>
        <w:tc>
          <w:tcPr>
            <w:tcW w:type="dxa" w:w="2880"/>
          </w:tcPr>
          <w:p>
            <w:r>
              <w:t>Owns the design-partner bar</w:t>
            </w:r>
          </w:p>
        </w:tc>
      </w:tr>
      <w:tr>
        <w:tc>
          <w:tcPr>
            <w:tcW w:type="dxa" w:w="2880"/>
          </w:tcPr>
          <w:p>
            <w:r>
              <w:t>P5 Regulator &amp; industry presence</w:t>
            </w:r>
          </w:p>
        </w:tc>
        <w:tc>
          <w:tcPr>
            <w:tcW w:type="dxa" w:w="2880"/>
          </w:tcPr>
          <w:p>
            <w:r>
              <w:t>AMLCFA/conference circuit; methodology whitepaper under his name; BNM/SC channel as compliance peer</w:t>
            </w:r>
          </w:p>
        </w:tc>
        <w:tc>
          <w:tcPr>
            <w:tcW w:type="dxa" w:w="2880"/>
          </w:tcPr>
          <w:p>
            <w:r>
              <w:t>ChainSentry's compliance voice</w:t>
            </w:r>
          </w:p>
        </w:tc>
      </w:tr>
    </w:tbl>
    <w:p>
      <w:pPr>
        <w:pStyle w:val="Heading2"/>
      </w:pPr>
      <w:r>
        <w:rPr>
          <w:color w:val="0B2D5C"/>
        </w:rPr>
        <w:t>Engineered success — measured, timeboxed</w:t>
      </w:r>
    </w:p>
    <w:p>
      <w:r>
        <w:rPr>
          <w:b w:val="0"/>
          <w:i w:val="0"/>
        </w:rPr>
        <w:t>Day 0–30: Trust Requirements Spec v1 (every MLRO-testable obligation mapped to shipped/roadmap/gap, signed by COO); claims audit of all collateral, corrections applied.</w:t>
      </w:r>
    </w:p>
    <w:p>
      <w:r>
        <w:rPr>
          <w:b w:val="0"/>
          <w:i w:val="0"/>
        </w:rPr>
        <w:t>Day 31–90: STR-ready case-file workflow validated — ChainSentry export → FIED STR field mapping + AMLATFPUAA §28 order-response pack; 2 design-partner workshops, ≥3 partners engaged.</w:t>
      </w:r>
    </w:p>
    <w:p>
      <w:r>
        <w:rPr>
          <w:b w:val="0"/>
          <w:i w:val="0"/>
        </w:rPr>
        <w:t>Month 4–12: 2 pilots with named-reference rights; whitepaper published; ≥2 conference stages; ≥1 documented BNM/SC engagement. Success = a procurement checklist item where we answer a regulator question better than the incumbent foreign suite.</w:t>
      </w:r>
    </w:p>
    <w:p>
      <w:pPr>
        <w:pStyle w:val="Heading2"/>
      </w:pPr>
      <w:r>
        <w:rPr>
          <w:color w:val="0B2D5C"/>
        </w:rPr>
        <w:t>The fit we are hiring for</w:t>
      </w:r>
    </w:p>
    <w:p>
      <w:r>
        <w:rPr>
          <w:b w:val="0"/>
          <w:i w:val="0"/>
        </w:rPr>
        <w:t>10+ yrs AML/CFT: development bank / takaful / retail bank / unit trust. Current Manager, Financial Intelligence &amp; Integrity, Bank Pembangunan Malaysia — board-level AML advisory, IRA lead, CRP template build, core-banking implementation, FIED STR submission, AMLATFPUAA 2001 order response, court proceedings. Earlier Bank Rakyat surveillance officer (STR/CTR, branch assessment, LEA liaison); Hong Leong MSIG Takaful governance. CAMCO (AICB), ICA Cert KYC &amp; CDD. Tools: Refinitiv World-Check, Dow Jones, CTOS ConneX, ComplianceLink. He has sat in every chair ChainSentry sells to.</w:t>
      </w:r>
    </w:p>
    <w:p>
      <w:pPr>
        <w:pStyle w:val="Heading2"/>
      </w:pPr>
      <w:r>
        <w:rPr>
          <w:color w:val="0B2D5C"/>
        </w:rPr>
        <w:t>What success needs from us</w:t>
      </w:r>
    </w:p>
    <w:p>
      <w:pPr>
        <w:pStyle w:val="ListBullet"/>
      </w:pPr>
      <w:r>
        <w:t>Trust-feature backlog honored (6-week cycle on gap items)</w:t>
      </w:r>
    </w:p>
    <w:p>
      <w:pPr>
        <w:pStyle w:val="ListBullet"/>
      </w:pPr>
      <w:r>
        <w:t>Product sandbox + live-chain case work from week 1</w:t>
      </w:r>
    </w:p>
    <w:p>
      <w:pPr>
        <w:pStyle w:val="ListBullet"/>
      </w:pPr>
      <w:r>
        <w:t>Roster T1 warm doors handed with context (sales pairing: Shuhada/Jasila)</w:t>
      </w:r>
    </w:p>
    <w:p>
      <w:pPr>
        <w:pStyle w:val="ListBullet"/>
      </w:pPr>
      <w:r>
        <w:t>Conference + whitepaper budget line</w:t>
      </w:r>
    </w:p>
    <w:p>
      <w:pPr>
        <w:pStyle w:val="ListBullet"/>
      </w:pPr>
      <w:r>
        <w:t>Harvey SDR owns top-of-funnel — he works warm doors and trust only</w:t>
      </w:r>
    </w:p>
    <w:p>
      <w:pPr>
        <w:pStyle w:val="Heading2"/>
      </w:pPr>
      <w:r>
        <w:rPr>
          <w:color w:val="0B2D5C"/>
        </w:rPr>
        <w:t>Guardrails</w:t>
      </w:r>
    </w:p>
    <w:p>
      <w:r>
        <w:rPr>
          <w:b w:val="0"/>
          <w:i w:val="0"/>
        </w:rPr>
        <w:t>While employed elsewhere: no solicitation of current employer; COO-disclosed independence note. No personal sales quota in year 1 — trust-building untaxed by commission; his bonus keys to the success KPIs above.</w:t>
      </w:r>
    </w:p>
    <w:p>
      <w:pPr>
        <w:pStyle w:val="Heading2"/>
      </w:pPr>
      <w:r>
        <w:rPr>
          <w:color w:val="0B2D5C"/>
        </w:rPr>
        <w:t>Engagement options</w:t>
      </w:r>
    </w:p>
    <w:p>
      <w:r>
        <w:rPr>
          <w:b w:val="0"/>
          <w:i w:val="0"/>
        </w:rPr>
        <w:t>A) Full-time Head of FCC — recommended post-transition; indicative band RM15–20k/mo + KPI bonus (owner to confirm).</w:t>
      </w:r>
    </w:p>
    <w:p>
      <w:r>
        <w:rPr>
          <w:b w:val="0"/>
          <w:i w:val="0"/>
        </w:rPr>
        <w:t>B) Senior Advisor retainer, 2 days/wk: P1–P3 immediately, P4–P5 after transition; COI-clean with independence note.</w:t>
      </w:r>
    </w:p>
    <w:p>
      <w:pPr>
        <w:pStyle w:val="Heading2"/>
      </w:pPr>
      <w:r>
        <w:rPr>
          <w:color w:val="0B2D5C"/>
        </w:rPr>
        <w:t>Verification state</w:t>
      </w:r>
    </w:p>
    <w:p>
      <w:r>
        <w:rPr>
          <w:b w:val="0"/>
          <w:i/>
          <w:color w:val="555B66"/>
        </w:rPr>
        <w:t>Fit statement sourced from resume received 15-Oct-2026 (self-reported). External corroboration pending (search backend unavailable). Referees on file: Fadhli Nor Azman (Head of Compliance, ShopeePay/SeaMoney MY), Suzanna Sulaiman (Head of Branch Audit, SME Bank).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