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ChainSentry — Plans &amp; Pricing</w:t>
      </w:r>
    </w:p>
    <w:p>
      <w:r>
        <w:rPr>
          <w:color w:val="555555"/>
          <w:sz w:val="21"/>
        </w:rPr>
        <w:t>v1 · 14 October 2026 · Commercial structure benchmarked against published market ladders</w:t>
      </w:r>
    </w:p>
    <w:p>
      <w:r>
        <w:rPr>
          <w:color w:val="555555"/>
          <w:sz w:val="21"/>
        </w:rPr>
        <w:t>Pricing is not a capability claim. Numbers marked PENDING-ENGINEERING-CONFIRM are proposals for owner calibration.</w:t>
      </w:r>
    </w:p>
    <w:p>
      <w:pPr>
        <w:pStyle w:val="Heading1"/>
      </w:pPr>
      <w:r>
        <w:rPr>
          <w:color w:val="0B2D5C"/>
        </w:rPr>
        <w:t>The Tier Ladder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Buyer</w:t>
            </w:r>
          </w:p>
        </w:tc>
        <w:tc>
          <w:tcPr>
            <w:tcW w:type="dxa" w:w="2160"/>
          </w:tcPr>
          <w:p>
            <w:r>
              <w:t>The Gate</w:t>
            </w:r>
          </w:p>
        </w:tc>
      </w:tr>
      <w:tr>
        <w:tc>
          <w:tcPr>
            <w:tcW w:type="dxa" w:w="2160"/>
          </w:tcPr>
          <w:p>
            <w:r>
              <w:t>Scout (free)</w:t>
            </w:r>
          </w:p>
        </w:tc>
        <w:tc>
          <w:tcPr>
            <w:tcW w:type="dxa" w:w="2160"/>
          </w:tcPr>
          <w:p>
            <w:r>
              <w:t>$0</w:t>
            </w:r>
          </w:p>
        </w:tc>
        <w:tc>
          <w:tcPr>
            <w:tcW w:type="dxa" w:w="2160"/>
          </w:tcPr>
          <w:p>
            <w:r>
              <w:t>Anyone</w:t>
            </w:r>
          </w:p>
        </w:tc>
        <w:tc>
          <w:tcPr>
            <w:tcW w:type="dxa" w:w="2160"/>
          </w:tcPr>
          <w:p>
            <w:r>
              <w:t>Wallet risk check, 10 lookups/day — top-of-funnel</w:t>
            </w:r>
          </w:p>
        </w:tc>
      </w:tr>
      <w:tr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$249 /user/mo</w:t>
            </w:r>
          </w:p>
        </w:tc>
        <w:tc>
          <w:tcPr>
            <w:tcW w:type="dxa" w:w="2160"/>
          </w:tcPr>
          <w:p>
            <w:r>
              <w:t>LEA/FIU/exchange investigators</w:t>
            </w:r>
          </w:p>
        </w:tc>
        <w:tc>
          <w:tcPr>
            <w:tcW w:type="dxa" w:w="2160"/>
          </w:tcPr>
          <w:p>
            <w:r>
              <w:t>Core tracing, 24 chains, corridor labels, 100 lookups/day</w:t>
            </w:r>
          </w:p>
        </w:tc>
      </w:tr>
      <w:tr>
        <w:tc>
          <w:tcPr>
            <w:tcW w:type="dxa" w:w="2160"/>
          </w:tcPr>
          <w:p>
            <w:r>
              <w:t>Investigator</w:t>
            </w:r>
          </w:p>
        </w:tc>
        <w:tc>
          <w:tcPr>
            <w:tcW w:type="dxa" w:w="2160"/>
          </w:tcPr>
          <w:p>
            <w:r>
              <w:t>$749 /user/mo</w:t>
            </w:r>
          </w:p>
        </w:tc>
        <w:tc>
          <w:tcPr>
            <w:tcW w:type="dxa" w:w="2160"/>
          </w:tcPr>
          <w:p>
            <w:r>
              <w:t>Senior FCC/AML analysts, forensic units</w:t>
            </w:r>
          </w:p>
        </w:tc>
        <w:tc>
          <w:tcPr>
            <w:tcW w:type="dxa" w:w="2160"/>
          </w:tcPr>
          <w:p>
            <w:r>
              <w:t>Investigations, DEX &amp; bridge parsing, evidence-grade reports, OpenAPI</w:t>
            </w:r>
          </w:p>
        </w:tc>
      </w:tr>
      <w:tr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$2,299 /org/mo</w:t>
            </w:r>
          </w:p>
        </w:tc>
        <w:tc>
          <w:tcPr>
            <w:tcW w:type="dxa" w:w="2160"/>
          </w:tcPr>
          <w:p>
            <w:r>
              <w:t>Institutions, VASPs, banks</w:t>
            </w:r>
          </w:p>
        </w:tc>
        <w:tc>
          <w:tcPr>
            <w:tcW w:type="dxa" w:w="2160"/>
          </w:tcPr>
          <w:p>
            <w:r>
              <w:t>KYA/AML batch screening, screening API, immutable audit trail, SSO</w:t>
            </w:r>
          </w:p>
        </w:tc>
      </w:tr>
      <w:tr>
        <w:tc>
          <w:tcPr>
            <w:tcW w:type="dxa" w:w="2160"/>
          </w:tcPr>
          <w:p>
            <w:r>
              <w:t>Sovereign</w:t>
            </w:r>
          </w:p>
        </w:tc>
        <w:tc>
          <w:tcPr>
            <w:tcW w:type="dxa" w:w="2160"/>
          </w:tcPr>
          <w:p>
            <w:r>
              <w:t>Talk to us</w:t>
            </w:r>
          </w:p>
        </w:tc>
        <w:tc>
          <w:tcPr>
            <w:tcW w:type="dxa" w:w="2160"/>
          </w:tcPr>
          <w:p>
            <w:r>
              <w:t>Governments, LEAs, regulators</w:t>
            </w:r>
          </w:p>
        </w:tc>
        <w:tc>
          <w:tcPr>
            <w:tcW w:type="dxa" w:w="2160"/>
          </w:tcPr>
          <w:p>
            <w:r>
              <w:t>FULL STACK IN YOUR PERIMETER — air-gap option, your data residency, your keys</w:t>
            </w:r>
          </w:p>
        </w:tc>
      </w:tr>
      <w:tr>
        <w:tc>
          <w:tcPr>
            <w:tcW w:type="dxa" w:w="2160"/>
          </w:tcPr>
          <w:p>
            <w:r>
              <w:t>Developer / API</w:t>
            </w:r>
          </w:p>
        </w:tc>
        <w:tc>
          <w:tcPr>
            <w:tcW w:type="dxa" w:w="2160"/>
          </w:tcPr>
          <w:p>
            <w:r>
              <w:t>from $29/mo</w:t>
            </w:r>
          </w:p>
        </w:tc>
        <w:tc>
          <w:tcPr>
            <w:tcW w:type="dxa" w:w="2160"/>
          </w:tcPr>
          <w:p>
            <w:r>
              <w:t>Fintechs, analysts</w:t>
            </w:r>
          </w:p>
        </w:tc>
        <w:tc>
          <w:tcPr>
            <w:tcW w:type="dxa" w:w="2160"/>
          </w:tcPr>
          <w:p>
            <w:r>
              <w:t>API-first usage pricing, dashboard-limited</w:t>
            </w:r>
          </w:p>
        </w:tc>
      </w:tr>
    </w:tbl>
    <w:p>
      <w:pPr>
        <w:pStyle w:val="Heading1"/>
      </w:pPr>
      <w:r>
        <w:rPr>
          <w:color w:val="0B2D5C"/>
        </w:rPr>
        <w:t>What Each Tier Unlocks</w:t>
      </w:r>
    </w:p>
    <w:p>
      <w:pPr>
        <w:pStyle w:val="Heading2"/>
      </w:pPr>
      <w:r>
        <w:rPr>
          <w:color w:val="0E7C7B"/>
        </w:rPr>
        <w:t>Analyst — everything to trace money</w:t>
      </w:r>
    </w:p>
    <w:p>
      <w:pPr>
        <w:pStyle w:val="ListBullet"/>
      </w:pPr>
      <w:r>
        <w:t>24 chains GA (PENDING-ENGINEERING-CONFIRM: final list + count)</w:t>
      </w:r>
    </w:p>
    <w:p>
      <w:pPr>
        <w:pStyle w:val="ListBullet"/>
      </w:pPr>
      <w:r>
        <w:t>AML risk score + address labels — corridor-first: MY/SG/TH/PH/VN/ID/AE/TR/EG exchange, mixer, sanctioned-entity and mule-network packs</w:t>
      </w:r>
    </w:p>
    <w:p>
      <w:pPr>
        <w:pStyle w:val="ListBullet"/>
      </w:pPr>
      <w:r>
        <w:t>Counterparty analysis · transaction actions · address profiles</w:t>
      </w:r>
    </w:p>
    <w:p>
      <w:pPr>
        <w:pStyle w:val="ListBullet"/>
      </w:pPr>
      <w:r>
        <w:t>50 monitoring watches · 100 lookups/day · 1 call/sec · 14-day trial, no card</w:t>
      </w:r>
    </w:p>
    <w:p>
      <w:pPr>
        <w:pStyle w:val="Heading2"/>
      </w:pPr>
      <w:r>
        <w:rPr>
          <w:color w:val="0E7C7B"/>
        </w:rPr>
        <w:t>Investigator — the casework tier</w:t>
      </w:r>
    </w:p>
    <w:p>
      <w:pPr>
        <w:pStyle w:val="ListBullet"/>
      </w:pPr>
      <w:r>
        <w:t>Investigations workspace · DEX &amp; bridge traversal · tracing canvas + risk graph</w:t>
      </w:r>
    </w:p>
    <w:p>
      <w:pPr>
        <w:pStyle w:val="ListBullet"/>
      </w:pPr>
      <w:r>
        <w:t>EVIDENCE-GRADE REPORT EXPORT — methodology annex, evidence hashes, analyst-at-per-action attribution; built for MY court practice</w:t>
      </w:r>
    </w:p>
    <w:p>
      <w:pPr>
        <w:pStyle w:val="ListBullet"/>
      </w:pPr>
      <w:r>
        <w:t>OpenAPI core endpoints · 250 watches · 5 calls/sec · 25k calls/day</w:t>
      </w:r>
    </w:p>
    <w:p>
      <w:pPr>
        <w:pStyle w:val="Heading2"/>
      </w:pPr>
      <w:r>
        <w:rPr>
          <w:color w:val="0E7C7B"/>
        </w:rPr>
        <w:t>Compliance — the institutional tier</w:t>
      </w:r>
    </w:p>
    <w:p>
      <w:pPr>
        <w:pStyle w:val="ListBullet"/>
      </w:pPr>
      <w:r>
        <w:t>KYA/AML batch screening (100k addresses/batch/mo — PENDING-ENGINEERING-CONFIRM)</w:t>
      </w:r>
    </w:p>
    <w:p>
      <w:pPr>
        <w:pStyle w:val="ListBullet"/>
      </w:pPr>
      <w:r>
        <w:t>Risk analytics dashboards · screening API · tamper-evident signed query log</w:t>
      </w:r>
    </w:p>
    <w:p>
      <w:pPr>
        <w:pStyle w:val="ListBullet"/>
      </w:pPr>
      <w:r>
        <w:t>SSO/SAML · 10 seats included · priority support 4h</w:t>
      </w:r>
    </w:p>
    <w:p>
      <w:pPr>
        <w:pStyle w:val="Heading2"/>
      </w:pPr>
      <w:r>
        <w:rPr>
          <w:color w:val="0E7C7B"/>
        </w:rPr>
        <w:t>Sovereign — the tier nobody else sells</w:t>
      </w:r>
    </w:p>
    <w:p>
      <w:pPr>
        <w:pStyle w:val="ListBullet"/>
      </w:pPr>
      <w:r>
        <w:t>Full stack on customer bare-metal/VMs; air-gap install with signed offline label updates</w:t>
      </w:r>
    </w:p>
    <w:p>
      <w:pPr>
        <w:pStyle w:val="ListBullet"/>
      </w:pPr>
      <w:r>
        <w:t>National-case isolation, zero phone-home, customer HSM/keys</w:t>
      </w:r>
    </w:p>
    <w:p>
      <w:pPr>
        <w:pStyle w:val="ListBullet"/>
      </w:pPr>
      <w:r>
        <w:t>Corridor label packs scoped to the jurisdiction mandate</w:t>
      </w:r>
    </w:p>
    <w:p>
      <w:pPr>
        <w:pStyle w:val="ListBullet"/>
      </w:pPr>
      <w:r>
        <w:t>Deployment engineering + analyst training included (scope-priced)</w:t>
      </w:r>
    </w:p>
    <w:p>
      <w:pPr>
        <w:pStyle w:val="ListBullet"/>
      </w:pPr>
      <w:r>
        <w:t>Auditability aligned to SC/BNM/NACSA expectations; named-node annual or perpetual licence — procurement/tender-friendly</w:t>
      </w:r>
    </w:p>
    <w:p>
      <w:pPr>
        <w:pStyle w:val="Heading1"/>
      </w:pPr>
      <w:r>
        <w:rPr>
          <w:color w:val="0B2D5C"/>
        </w:rPr>
        <w:t>Pricing Posture (internal)</w:t>
      </w:r>
    </w:p>
    <w:p>
      <w:pPr>
        <w:pStyle w:val="ListBullet"/>
      </w:pPr>
      <w:r>
        <w:t>Never price against the incumbent on their turf — ChainSentry is not "cheaper Chainalysis."</w:t>
      </w:r>
    </w:p>
    <w:p>
      <w:pPr>
        <w:pStyle w:val="ListBullet"/>
      </w:pPr>
      <w:r>
        <w:t>SaaS tiers sit at the published market ladder +/-5% so procurement checklists do not stall; margin and the government story live in Sovereign + corridor packs.</w:t>
      </w:r>
    </w:p>
    <w:p>
      <w:pPr>
        <w:pStyle w:val="ListBullet"/>
      </w:pPr>
      <w:r>
        <w:t>MY government: USD quote, RM invoice via Aras Integrasi Sdn Bhd; NACSA licence gate + ePerolehan/MoF registration (decision due 31-Oct-2026). Local entity + local support = tender-score advantage foreign vendors cannot match.</w:t>
      </w:r>
    </w:p>
    <w:p>
      <w:pPr>
        <w:pStyle w:val="ListBullet"/>
      </w:pPr>
      <w:r>
        <w:t>Corridor (MEA): VARA/SCA-licensed VASP bundles; approved-tooling listing treated as distribution — SaaS tier is the beachhead.</w:t>
      </w:r>
    </w:p>
    <w:p>
      <w:pPr>
        <w:pStyle w:val="ListBullet"/>
      </w:pPr>
      <w:r>
        <w:t>Kill the discount reflex: 14-day trial + $10/48h Investigator probe replace ad-hoc discounting.</w:t>
      </w:r>
    </w:p>
    <w:p>
      <w:pPr>
        <w:pStyle w:val="Heading1"/>
      </w:pPr>
      <w:r>
        <w:rPr>
          <w:color w:val="0B2D5C"/>
        </w:rPr>
        <w:t>Trial &amp; Commercial Policy (published)</w:t>
      </w:r>
    </w:p>
    <w:p>
      <w:pPr>
        <w:pStyle w:val="ListBullet"/>
      </w:pPr>
      <w:r>
        <w:t>14-day Analyst trial — full features, no card</w:t>
      </w:r>
    </w:p>
    <w:p>
      <w:pPr>
        <w:pStyle w:val="ListBullet"/>
      </w:pPr>
      <w:r>
        <w:t>$10 / 48-hour Investigator probe, one per account</w:t>
      </w:r>
    </w:p>
    <w:p>
      <w:pPr>
        <w:pStyle w:val="ListBullet"/>
      </w:pPr>
      <w:r>
        <w:t>Subscriptions non-refundable after first invoice clears</w:t>
      </w:r>
    </w:p>
    <w:p>
      <w:pPr>
        <w:pStyle w:val="ListBullet"/>
      </w:pPr>
      <w:r>
        <w:t>Annual = 2 months free · extra seats $199/user/mo (Analyst/Investigator)</w:t>
      </w:r>
    </w:p>
    <w:p>
      <w:pPr>
        <w:pStyle w:val="ListBullet"/>
      </w:pPr>
      <w:r>
        <w:t>PO/invoice accepted; tax invoices under Aras Integrasi Sdn Bhd</w:t>
      </w:r>
    </w:p>
    <w:p>
      <w:pPr>
        <w:pStyle w:val="Heading1"/>
      </w:pPr>
      <w:r>
        <w:rPr>
          <w:color w:val="0B2D5C"/>
        </w:rPr>
        <w:t>FAQ (published)</w:t>
      </w:r>
    </w:p>
    <w:p>
      <w:r>
        <w:rPr>
          <w:b/>
        </w:rPr>
        <w:t>Which chains?</w:t>
      </w:r>
    </w:p>
    <w:p>
      <w:r>
        <w:t>24 GA today; corridor chains first on roadmap; full matrix in docs. (PENDING-ENGINEERING-CONFIRM before page goes live.)</w:t>
      </w:r>
    </w:p>
    <w:p>
      <w:r>
        <w:rPr>
          <w:b/>
        </w:rPr>
        <w:t>Is Sovereign really air-gap-capable?</w:t>
      </w:r>
    </w:p>
    <w:p>
      <w:r>
        <w:t>Yes — offline signed-media bundle updates; no telemetry required to operate.</w:t>
      </w:r>
    </w:p>
    <w:p>
      <w:r>
        <w:rPr>
          <w:b/>
        </w:rPr>
        <w:t>Data residency?</w:t>
      </w:r>
    </w:p>
    <w:p>
      <w:r>
        <w:t>SaaS: AWS ap-southeast (confirm). Compliance: same + tenancy isolation. Sovereign: your floor, literally.</w:t>
      </w:r>
    </w:p>
    <w:p>
      <w:r>
        <w:rPr>
          <w:b/>
        </w:rPr>
        <w:t>Court acceptance of reports?</w:t>
      </w:r>
    </w:p>
    <w:p>
      <w:r>
        <w:t>Per-action analyst attribution, evidence hashes, methodology annexes — built for Malaysian court practice first.</w:t>
      </w:r>
    </w:p>
    <w:p>
      <w:r>
        <w:rPr>
          <w:b/>
        </w:rPr>
        <w:t>API docs?</w:t>
      </w:r>
    </w:p>
    <w:p>
      <w:r>
        <w:t>Public docs site; sandbox keys on all paid tiers.</w:t>
      </w:r>
    </w:p>
    <w:p/>
    <w:p>
      <w:r>
        <w:rPr>
          <w:color w:val="555555"/>
          <w:sz w:val="18"/>
        </w:rPr>
        <w:t>Benchmark source: misttrack.io/pricing.html fetched 2026-10-14 — Basic $229 · Standard $689 · Compliance $2,069 · Developer from $20/yr · KYT enterprise = contact-us · trial hooks 7-day + $10/48h. Structure mirrored; wedge differs: deployability, corridor, auditability.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