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 Description — Head of Trust &amp; Compliance: ChainSentry × Fiato</w:t>
      </w:r>
    </w:p>
    <w:p>
      <w:r>
        <w:t>Company: Aras Integrasi Sdn Bhd</w:t>
      </w:r>
    </w:p>
    <w:p>
      <w:r>
        <w:t>Portfolio: ChainSentry (product trust seat) + Fiato (fiato.io — compliance advisory mandate)</w:t>
      </w:r>
    </w:p>
    <w:p>
      <w:r>
        <w:t>Reports to: Solutions Architect (COO track)  ·  Location: Kuala Lumpur / hybrid (Fiato remotes from Lagos — travel blocks budgeted)</w:t>
      </w:r>
    </w:p>
    <w:p>
      <w:r>
        <w:t>Mode: Full-time, or FT + separate Fiato advisory rider (see Section 8)</w:t>
      </w:r>
    </w:p>
    <w:p>
      <w:r>
        <w:t>Version: v3 · 16-Oct-2026 · Owner: Hadri · Supersedes JD-head-fcc.md v1 (15-Oct); incorporates JD-v2 implications from the competitor trust-role study</w:t>
      </w:r>
    </w:p>
    <w:p>
      <w:pPr>
        <w:pStyle w:val="Heading2"/>
      </w:pPr>
      <w:r>
        <w:t>1. Why This Role Exists</w:t>
      </w:r>
    </w:p>
    <w:p>
      <w:r>
        <w:t>ChainSentry's engineering is real; its trust is not yet built — and trust is the binding constraint in every market it sells to. Separately, Fiato — a crypto-payment settlements company bridging crypto payments to local-currency payouts — has compliance architecture on paper (a 12-section AML/CFT policy) but needs it converted into operating proof that regulators, partner banks, and merchants can rely on. This is one hire doing two composed mandates with a single methodology: regulate → requirement → artifact → proof. The person has sat in the chairs these companies sell to and serve.</w:t>
      </w:r>
    </w:p>
    <w:p>
      <w:pPr>
        <w:pStyle w:val="Heading2"/>
      </w:pPr>
      <w:r>
        <w:t>2. The Two Main Tasks</w:t>
      </w:r>
    </w:p>
    <w:p>
      <w:pPr>
        <w:pStyle w:val="Heading3"/>
      </w:pPr>
      <w:r>
        <w:t>Task 1 — Make ChainSentry a Trusted Local AND International Brand</w:t>
      </w:r>
    </w:p>
    <w:p>
      <w:r>
        <w:t>Objective: ChainSentry becomes the blockchain-tracing platform a regulated institution in ANY jurisdiction can defend choosing — to its regulator, its board, and in court. Malaysia is the anchor reference; international expansion is the trajectory, not the afterthought.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Workstream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He Does</w:t>
            </w:r>
          </w:p>
        </w:tc>
      </w:tr>
      <w:tr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Regulatory soundness → product (local + international)</w:t>
            </w:r>
          </w:p>
        </w:tc>
        <w:tc>
          <w:tcPr>
            <w:tcW w:type="dxa" w:w="2880"/>
          </w:tcPr>
          <w:p>
            <w:r>
              <w:t>Maps MY regimes (BNM AML/CFT Policy, SC RM Guidelines, AMLATFPUAA 2001, PMABA) AND international rails (FATF Rec. 15/20, Travel Rule, MiCA horizon, MAS/VARA/AMLO corridors) into concrete requirement rows in the product backlog. Owns the Trust Requirements Spec handed to engineering. Every new target market = a new mapped column, not a slide.</w:t>
            </w:r>
          </w:p>
        </w:tc>
      </w:tr>
      <w:tr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Evidentiary standard</w:t>
            </w:r>
          </w:p>
        </w:tc>
        <w:tc>
          <w:tcPr>
            <w:tcW w:type="dxa" w:w="2880"/>
          </w:tcPr>
          <w:p>
            <w:r>
              <w:t>Defines what "court-grade export" means — chain-of-custody, exhibit naming, affidavit hooks — and extends it cross-border (evidence admissibility in international proceedings). VETO on any evidentiary claim made about the product.</w:t>
            </w:r>
          </w:p>
        </w:tc>
      </w:tr>
      <w:tr>
        <w:tc>
          <w:tcPr>
            <w:tcW w:type="dxa" w:w="2880"/>
          </w:tcPr>
          <w:p>
            <w:r>
              <w:t>1.3</w:t>
            </w:r>
          </w:p>
        </w:tc>
        <w:tc>
          <w:tcPr>
            <w:tcW w:type="dxa" w:w="2880"/>
          </w:tcPr>
          <w:p>
            <w:r>
              <w:t>Trust gatekeeper</w:t>
            </w:r>
          </w:p>
        </w:tc>
        <w:tc>
          <w:tcPr>
            <w:tcW w:type="dxa" w:w="2880"/>
          </w:tcPr>
          <w:p>
            <w:r>
              <w:t>Claims-audits every deck, webinar, and collateral piece — Malaysian AND international/localized versions alike. VETO on sales claims. One overstated "we traced it" burns a corridor deal permanently.</w:t>
            </w:r>
          </w:p>
        </w:tc>
      </w:tr>
      <w:tr>
        <w:tc>
          <w:tcPr>
            <w:tcW w:type="dxa" w:w="2880"/>
          </w:tcPr>
          <w:p>
            <w:r>
              <w:t>1.4</w:t>
            </w:r>
          </w:p>
        </w:tc>
        <w:tc>
          <w:tcPr>
            <w:tcW w:type="dxa" w:w="2880"/>
          </w:tcPr>
          <w:p>
            <w:r>
              <w:t>References, regulator presence, international proof</w:t>
            </w:r>
          </w:p>
        </w:tc>
        <w:tc>
          <w:tcPr>
            <w:tcW w:type="dxa" w:w="2880"/>
          </w:tcPr>
          <w:p>
            <w:r>
              <w:t>Converts MY design partners into named references, then international case studies. Opens BNM/SC engagement as a compliance peer. Publishes the methodology whitepaper (MY edition, then international supplement). ≥1 stage appearance outside MY by month 12. The international bar: ChainSentry wins a procurement checklist line against an incumbent foreign suite.</w:t>
            </w:r>
          </w:p>
        </w:tc>
      </w:tr>
    </w:tbl>
    <w:p>
      <w:r>
        <w:rPr>
          <w:b/>
        </w:rPr>
        <w:t>Success measures (dated, checkable):</w:t>
      </w:r>
    </w:p>
    <w:p>
      <w:pPr>
        <w:pStyle w:val="ListBullet"/>
      </w:pPr>
      <w:r>
        <w:t>Day 30: Trust Requirements Spec v1 (MY + 2 target jurisdictions, international expansion markets identified) — signed by COO as backlog commitments. Zero unaudited claims live.</w:t>
      </w:r>
    </w:p>
    <w:p>
      <w:pPr>
        <w:pStyle w:val="ListBullet"/>
      </w:pPr>
      <w:r>
        <w:t>Day 90: ≥3 MY design partners engaged; crypto-STR playbook v1 draft; all collateral claims-audited.</w:t>
      </w:r>
    </w:p>
    <w:p>
      <w:pPr>
        <w:pStyle w:val="ListBullet"/>
      </w:pPr>
      <w:r>
        <w:t>Month 12: ≥2 named-reference pilots; whitepaper (MY + international supplement); ≥1 international appearance; ≥1 documented regulator engagement; procurement-checklist win vs incumbent foreign suite.</w:t>
      </w:r>
    </w:p>
    <w:p>
      <w:pPr>
        <w:pStyle w:val="Heading3"/>
      </w:pPr>
      <w:r>
        <w:t>Task 2 — Assist Fiato in Establishing as a Trusted Company</w:t>
      </w:r>
    </w:p>
    <w:p>
      <w:r>
        <w:t>Objective: mature Fiato (crypto-payment settlements; "settled in your local currency in real time" per fiato.io) from policy-on-paper to an exam-ready, partner-trusted payment institution — so banks that settle them, PSPs that integrate them, and merchants that onboard them trust the plumbing under the UX.</w:t>
      </w:r>
    </w:p>
    <w:p>
      <w:r>
        <w:rPr>
          <w:b/>
        </w:rPr>
        <w:t xml:space="preserve">Ground truth (fiato.io + /aml_cft, verified 16-Oct-2026): </w:t>
      </w:r>
      <w:r>
        <w:t>entity = Fiato Digital Solutions, Lagos, Nigeria; AML/CFT policy cites the Nigerian Anti-Money Laundering Act, Terrorism (Prevention) Act, CBN and NFIU guidelines; covers CDD/EDD, transaction monitoring, escalation to NFIU, sanctions screening (UN/EU/US), 5-year record retention, annual policy review, named Compliance Officer. The policy EXISTS — the mandate is converting it into evidence, cadence, and third-party trust.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Workstream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He Does</w:t>
            </w:r>
          </w:p>
        </w:tc>
      </w:tr>
      <w:t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Compliance architecture → operating proof</w:t>
            </w:r>
          </w:p>
        </w:tc>
        <w:tc>
          <w:tcPr>
            <w:tcW w:type="dxa" w:w="2880"/>
          </w:tcPr>
          <w:p>
            <w:r>
              <w:t>Gap-assesses the 12-section policy against CBN/NFIU supervisory expectations; converts every stated control into demonstrated artifacts: risk-assessment methodology, monitoring rules + tuning logs, SAR/STR escalation evidence, board reporting pack.</w:t>
            </w:r>
          </w:p>
        </w:tc>
      </w:tr>
      <w:tr>
        <w:tc>
          <w:tcPr>
            <w:tcW w:type="dxa" w:w="2880"/>
          </w:tcPr>
          <w:p>
            <w:r>
              <w:t>2.2</w:t>
            </w:r>
          </w:p>
        </w:tc>
        <w:tc>
          <w:tcPr>
            <w:tcW w:type="dxa" w:w="2880"/>
          </w:tcPr>
          <w:p>
            <w:r>
              <w:t>Regulator readiness</w:t>
            </w:r>
          </w:p>
        </w:tc>
        <w:tc>
          <w:tcPr>
            <w:tcW w:type="dxa" w:w="2880"/>
          </w:tcPr>
          <w:p>
            <w:r>
              <w:t>Builds the exam-ready file: registration/licensing posture under CBN + SEC-Nigeria VASP rules (status to be confirmed with Fiato before engagement starts); sanctions program structured for independent testing; compliance calendar with an owner per filing.</w:t>
            </w:r>
          </w:p>
        </w:tc>
      </w:tr>
      <w:tr>
        <w:tc>
          <w:tcPr>
            <w:tcW w:type="dxa" w:w="2880"/>
          </w:tcPr>
          <w:p>
            <w:r>
              <w:t>2.3</w:t>
            </w:r>
          </w:p>
        </w:tc>
        <w:tc>
          <w:tcPr>
            <w:tcW w:type="dxa" w:w="2880"/>
          </w:tcPr>
          <w:p>
            <w:r>
              <w:t>Partner &amp; merchant trust</w:t>
            </w:r>
          </w:p>
        </w:tc>
        <w:tc>
          <w:tcPr>
            <w:tcW w:type="dxa" w:w="2880"/>
          </w:tcPr>
          <w:p>
            <w:r>
              <w:t>Produces the trust kit that wins Fiato its commercial doors: correspondent/partner-bank due-diligence pack, merchant KYB/onboarding standard, and the settlement-partner trust deck — anchored in the 2.1–2.2 artifacts, not marketing.</w:t>
            </w:r>
          </w:p>
        </w:tc>
      </w:tr>
      <w:tr>
        <w:tc>
          <w:tcPr>
            <w:tcW w:type="dxa" w:w="2880"/>
          </w:tcPr>
          <w:p>
            <w:r>
              <w:t>2.4</w:t>
            </w:r>
          </w:p>
        </w:tc>
        <w:tc>
          <w:tcPr>
            <w:tcW w:type="dxa" w:w="2880"/>
          </w:tcPr>
          <w:p>
            <w:r>
              <w:t>Governance cadence</w:t>
            </w:r>
          </w:p>
        </w:tc>
        <w:tc>
          <w:tcPr>
            <w:tcW w:type="dxa" w:w="2880"/>
          </w:tcPr>
          <w:p>
            <w:r>
              <w:t>Moves the annual policy review to quarterly-at-least; operationalizes employee training; establishes the monitoring-evidence standard that proves "continuous transaction monitoring" is real.</w:t>
            </w:r>
          </w:p>
        </w:tc>
      </w:tr>
    </w:tbl>
    <w:p>
      <w:r>
        <w:rPr>
          <w:b/>
        </w:rPr>
        <w:t>Success measures (dated, checkable):</w:t>
      </w:r>
    </w:p>
    <w:p>
      <w:pPr>
        <w:pStyle w:val="ListBullet"/>
      </w:pPr>
      <w:r>
        <w:t>Day 30: gap assessment delivered to Fiato + Aras COO (policy vs CBN/NFIU expectations, severity-ranked).</w:t>
      </w:r>
    </w:p>
    <w:p>
      <w:pPr>
        <w:pStyle w:val="ListBullet"/>
      </w:pPr>
      <w:r>
        <w:t>Day 60: remediation roadmap + monitoring-evidence standard adopted.</w:t>
      </w:r>
    </w:p>
    <w:p>
      <w:pPr>
        <w:pStyle w:val="ListBullet"/>
      </w:pPr>
      <w:r>
        <w:t>Day 90: exam-ready file draft + partner/merchant trust kit v1 in Fiato's hands.</w:t>
      </w:r>
    </w:p>
    <w:p>
      <w:pPr>
        <w:pStyle w:val="ListBullet"/>
      </w:pPr>
      <w:r>
        <w:t>Month 6+: sanctions program independently tested; board pack live; policy review cadence operating.</w:t>
      </w:r>
    </w:p>
    <w:p>
      <w:pPr>
        <w:pStyle w:val="Heading2"/>
      </w:pPr>
      <w:r>
        <w:t>3. How the Two Mandates Compose</w:t>
      </w:r>
    </w:p>
    <w:p>
      <w:pPr>
        <w:pStyle w:val="ListBullet"/>
      </w:pPr>
      <w:r>
        <w:t>One methodology, two applications. Task 1 SELLS the regulate→prove capability; Task 2 CONSUMES it as Fiato's living showcase. Fiato becomes the flagship reference: "the payment institution we took exam-ready."</w:t>
      </w:r>
    </w:p>
    <w:p>
      <w:pPr>
        <w:pStyle w:val="ListBullet"/>
      </w:pPr>
      <w:r>
        <w:t>Hat separation. ChainSentry hat = internal product trust owner (employment seat). Fiato hat = external compliance advisor (advisory rider, timeboxed days/week). Never blended in title, contract, or commitment.</w:t>
      </w:r>
    </w:p>
    <w:p>
      <w:pPr>
        <w:pStyle w:val="ListBullet"/>
      </w:pPr>
      <w:r>
        <w:t>MEA synergy (deliberate). Fiato's Lagos base strengthens ChainSentry's Middle-East/Africa lanes — trust work done there doubles as regional proof. Identified in ChainSentry activation paths as an ACV-band market; this role compounds it.</w:t>
      </w:r>
    </w:p>
    <w:p>
      <w:pPr>
        <w:pStyle w:val="Heading2"/>
      </w:pPr>
      <w:r>
        <w:t>4. The 30-Day Ramp (Part of the Job, Not Homework)</w:t>
      </w:r>
    </w:p>
    <w:p>
      <w:r>
        <w:t>Carried intact from JD v1: Week 1 mental model (UTXO/account, mixers, bridges, explorers). Week 2 typologies in compliance language (mule wallets ↔ mule accounts; off-ramp ↔ cash-out; each mapping = a one-pager feeding the MY typology library). Week 3 ChainSentry hands-on (5 seeded live cases; every unanswered compliance question = backlog entry). Week 4 — T0 GATE (contractual): unscripted 20-minute typology brief to the product team; pass means understood without translation. Ongoing: one chain-fluency item per week; budgeted path to recognized standing (CAMS-Crypto or equivalent). Fiato immersion runs in parallel, weeks 1–2: their full policy set, settlement flow, partner contracts, licensing posture — native territory, hence the lighter lift.</w:t>
      </w:r>
    </w:p>
    <w:p>
      <w:pPr>
        <w:pStyle w:val="Heading2"/>
      </w:pPr>
      <w:r>
        <w:t>5. Standing Cadences (From Week One — No Grey Zones)</w:t>
      </w:r>
    </w:p>
    <w:p>
      <w:pPr>
        <w:pStyle w:val="ListNumber"/>
      </w:pPr>
      <w:r>
        <w:t>Weekly: claims-audit pass on any new/changed collateral for EITHER brand (veto authority).</w:t>
      </w:r>
    </w:p>
    <w:p>
      <w:pPr>
        <w:pStyle w:val="ListNumber"/>
      </w:pPr>
      <w:r>
        <w:t>Weekly (from week 3): "tool vs compliance question" log — every question the product cannot answer becomes a backlog entry; he owns the log.</w:t>
      </w:r>
    </w:p>
    <w:p>
      <w:pPr>
        <w:pStyle w:val="ListNumber"/>
      </w:pPr>
      <w:r>
        <w:t>Day 1–10: interviews — the 66-contact roster + his own network: minimum 8 conversations on how FIs handle VA exposure today. Output feeds the Trust Requirements Spec.</w:t>
      </w:r>
    </w:p>
    <w:p>
      <w:pPr>
        <w:pStyle w:val="ListNumber"/>
      </w:pPr>
      <w:r>
        <w:t>Monthly: corridor regulatory horizon scan (MAS, VARA, PPATK, AMLO, SC/BNM, FATF + CBN/SEC-Nigeria movements) with a "so what" line per item for both mandates.</w:t>
      </w:r>
    </w:p>
    <w:p>
      <w:pPr>
        <w:pStyle w:val="ListNumber"/>
      </w:pPr>
      <w:r>
        <w:t>Quarterly: webinar/briefing under his name (MY, then corridor); expert-network activation (1–2 joins; referrals logged as engagement, never quota).</w:t>
      </w:r>
    </w:p>
    <w:p>
      <w:pPr>
        <w:pStyle w:val="ListNumber"/>
      </w:pPr>
      <w:r>
        <w:t>Standing: veto on public claims about evidentiary/regulatory matters — either brand. If he can't say it at a BNM roundtable, it doesn't ship.</w:t>
      </w:r>
    </w:p>
    <w:p>
      <w:pPr>
        <w:pStyle w:val="Heading2"/>
      </w:pPr>
      <w:r>
        <w:t>6. What We Give Him (Dependencies We Commit — or the JD Lies)</w:t>
      </w:r>
    </w:p>
    <w:p>
      <w:r>
        <w:t>Engineering honors the trust-feature backlog (6-week response cycle on gap items). Sandbox + live cases from week 1. Warm T1 doors opened by COO with context. Conference + whitepaper + travel budget (including the Lagos on-site block). No year-1 sales quota (category norm). His name on the whitepaper. Harvey SDR pipeline handles top-of-funnel. For the Fiato mandate: formalized advisory agreement, mutual NDAs, direct access to Fiato's Compliance Officer and founders, and authority to interview their ops and engineering staff.</w:t>
      </w:r>
    </w:p>
    <w:p>
      <w:pPr>
        <w:pStyle w:val="Heading2"/>
      </w:pPr>
      <w:r>
        <w:t>7. Guardrails (Three-Party — Non-Negotiable)</w:t>
      </w:r>
    </w:p>
    <w:p>
      <w:pPr>
        <w:pStyle w:val="ListBullet"/>
      </w:pPr>
      <w:r>
        <w:t>Employment: no solicitation of his current employer while employed; corridor contacts via formal channels only.</w:t>
      </w:r>
    </w:p>
    <w:p>
      <w:pPr>
        <w:pStyle w:val="ListBullet"/>
      </w:pPr>
      <w:r>
        <w:t>Independence: the veto seat excludes conflicting side retainers; any existing Fiato-linked interest disclosed to the COO before Day 1.</w:t>
      </w:r>
    </w:p>
    <w:p>
      <w:pPr>
        <w:pStyle w:val="ListBullet"/>
      </w:pPr>
      <w:r>
        <w:t>Data boundary: ChainSentry client casework data NEVER enters Fiato engagements; Fiato internal compliance data stays bilateral (Aras–Fiato NDA); nothing marketed as a ChainSentry case study without written consent.</w:t>
      </w:r>
    </w:p>
    <w:p>
      <w:pPr>
        <w:pStyle w:val="ListBullet"/>
      </w:pPr>
      <w:r>
        <w:t>Claims: all third-party-facing communications for both brands run the claims-audit workflow (self-audit, COO sign-off).</w:t>
      </w:r>
    </w:p>
    <w:p>
      <w:pPr>
        <w:pStyle w:val="Heading2"/>
      </w:pPr>
      <w:r>
        <w:t>8. Engagement Modes</w:t>
      </w:r>
    </w:p>
    <w:p>
      <w:pPr>
        <w:pStyle w:val="ListBullet"/>
      </w:pPr>
      <w:r>
        <w:t>Mode A — Full-time Head of Trust &amp; Compliance: both mandates, the success measures as contract objectives; Fiato rider as a Scope-of-Work annex. Indicative band RM15–20k/month + KPI bonus (indicative — owner to confirm).</w:t>
      </w:r>
    </w:p>
    <w:p>
      <w:pPr>
        <w:pStyle w:val="ListBullet"/>
      </w:pPr>
      <w:r>
        <w:t>Mode B — Split engagement: ChainSentry full-time + Fiato 2-day/week advisory rider (separate advisory fee, pro-rated). Preferred structure keeps incentives visibly clean between the two seats.</w:t>
      </w:r>
    </w:p>
    <w:p>
      <w:r>
        <w:t>Owner confirmation before posting. Careers contact to be inserted before publication.</w:t>
      </w:r>
    </w:p>
    <w:p>
      <w:pPr>
        <w:pStyle w:val="Heading2"/>
      </w:pPr>
      <w:r>
        <w:t>9. Verification State (Honesty Ledger)</w:t>
      </w:r>
    </w:p>
    <w:p>
      <w:pPr>
        <w:pStyle w:val="ListBullet"/>
      </w:pPr>
      <w:r>
        <w:t>Fiato profile [FACT, HIGH]: fiato.io homepage + /aml_cft fetched 16-Oct-2026 — entity (Fiato Digital Solutions, Lagos), service model (crypto → local-currency settlement; "1k+ Businesses, $2.2m Processed" per site, unverified), full 12-section AML/CFT policy reviewed at source.</w:t>
      </w:r>
    </w:p>
    <w:p>
      <w:pPr>
        <w:pStyle w:val="ListBullet"/>
      </w:pPr>
      <w:r>
        <w:t>LinkedIn company/about page [BLOCKED]: login wall on both HTTP and browser routes 16-Oct — headcount and organization data NOT verified; re-run when a browser session is available.</w:t>
      </w:r>
    </w:p>
    <w:p>
      <w:pPr>
        <w:pStyle w:val="ListBullet"/>
      </w:pPr>
      <w:r>
        <w:t>Candidate profile [SELF-REPORTED]: source CV (received 15-Oct-2026) cache file no longer on disk; profile carried verbatim from JD v1 — 10+ years AML/CFT (development bank, takaful, retail, unit trust); current Manager, Financial Intelligence &amp; Integrity, Bank Pembangunan Malaysia; CAMCO (AICB) + ICA Certificate KYC/CDD; referees on file: Fadhli Nor Azman (ShopeePay/SeaMoney MY), Suzanna Sulaiman (SME Bank). External corroboration (LinkedIn/BNM listings) still pending — retry when search backend is restored.</w:t>
      </w:r>
    </w:p>
    <w:p>
      <w:pPr>
        <w:pStyle w:val="ListBullet"/>
      </w:pPr>
      <w:r>
        <w:t>Compensation band [INDICATIVE]; Aras–Fiato commercial terms [UNKNOWN] — confirm before Day-1 scoping.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Aras Integrasi Sdn Bhd — Internal / Stakeholder Review — JD v3 (16-Oct-2026)</w: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Big">
    <w:name w:val="Title Big"/>
    <w:rPr>
      <w:rFonts w:ascii="Calibri" w:hAnsi="Calibri"/>
      <w:b/>
      <w:color w:val="1F386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