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Description — AML/CFT Specialist (Blockchain Forensics)</w:t>
      </w:r>
    </w:p>
    <w:p>
      <w:r>
        <w:rPr>
          <w:b/>
        </w:rPr>
        <w:t>Company:</w:t>
      </w:r>
      <w:r>
        <w:t xml:space="preserve"> Aras Integrasi Sdn Bhd — ChainSentry product line</w:t>
      </w:r>
    </w:p>
    <w:p>
      <w:r>
        <w:rPr>
          <w:b/>
        </w:rPr>
        <w:t>Title:</w:t>
      </w:r>
      <w:r>
        <w:t xml:space="preserve"> AML/CFT Specialist / Manager — Blockchain Financial Crime &amp; Compliance</w:t>
      </w:r>
    </w:p>
    <w:p>
      <w:r>
        <w:rPr>
          <w:b/>
        </w:rPr>
        <w:t>Reports to:</w:t>
      </w:r>
      <w:r>
        <w:t xml:space="preserve"> Solutions Architect / Product Lead (ChainSentry), with direct line to COO for commercial matters</w:t>
      </w:r>
    </w:p>
    <w:p>
      <w:r>
        <w:rPr>
          <w:b/>
        </w:rPr>
        <w:t>Location:</w:t>
      </w:r>
      <w:r>
        <w:t xml:space="preserve"> Kuala Lumpur, Malaysia (hybrid) — periodic travel to Ho Chi Minh City, Bangkok, Dubai; remote-friendly for the right candidate</w:t>
      </w:r>
    </w:p>
    <w:p>
      <w:r>
        <w:rPr>
          <w:b/>
        </w:rPr>
        <w:t>Type:</w:t>
      </w:r>
      <w:r>
        <w:t xml:space="preserve"> Full-time · Immediate</w:t>
      </w:r>
    </w:p>
    <w:p>
      <w:r>
        <w:rPr>
          <w:b/>
        </w:rPr>
        <w:t>Salary:</w:t>
      </w:r>
      <w:r>
        <w:t xml:space="preserve"> Competitive, commensurate with experience (Malaysian structure; regional allowance for travel markets)</w:t>
      </w:r>
    </w:p>
    <w:p>
      <w:pPr>
        <w:pStyle w:val="Heading2"/>
      </w:pPr>
      <w:r>
        <w:t>About us</w:t>
      </w:r>
    </w:p>
    <w:p>
      <w:r>
        <w:t xml:space="preserve">Aras Integrasi delivers sovereign, on-prem blockchain tracing and E-KYC through </w:t>
      </w:r>
      <w:r>
        <w:rPr>
          <w:b/>
        </w:rPr>
        <w:t>ChainSentry</w:t>
      </w:r>
      <w:r>
        <w:t xml:space="preserve"> — jurisdiction-first blockchain forensics for governments, financial-intelligence units, banks and licensed virtual-asset service providers that the US-cloud incumbents price out or structurally cannot serve. Our positioning is not "cheaper Chainalysis": it is </w:t>
      </w:r>
      <w:r>
        <w:rPr>
          <w:i/>
        </w:rPr>
        <w:t>your cases never leave your jurisdiction</w:t>
      </w:r>
      <w:r>
        <w:t xml:space="preserve">, plus MENA/SEA/BRICS </w:t>
      </w:r>
      <w:r>
        <w:rPr>
          <w:b/>
        </w:rPr>
        <w:t>corridor coverage</w:t>
      </w:r>
      <w:r>
        <w:t xml:space="preserve"> the incumbents do not hold, plus deployments a sovereign customer can actually audit. We are currently assembling a ~120-entity design-partner roster across Malaysia, SEA, the GCC, Turkey, Egypt and Switzerland.</w:t>
      </w:r>
    </w:p>
    <w:p>
      <w:pPr>
        <w:pStyle w:val="Heading2"/>
      </w:pPr>
      <w:r>
        <w:t>Why this role exists</w:t>
      </w:r>
    </w:p>
    <w:p>
      <w:r>
        <w:t xml:space="preserve">ChainSentry's commercial pipeline is deliberately compliance-led: regulators and supervised entities adopt us because our methodology is defensible in </w:t>
      </w:r>
      <w:r>
        <w:rPr>
          <w:i/>
        </w:rPr>
        <w:t>their</w:t>
      </w:r>
      <w:r>
        <w:t xml:space="preserve"> courts and our data handling satisfies </w:t>
      </w:r>
      <w:r>
        <w:rPr>
          <w:i/>
        </w:rPr>
        <w:t>their</w:t>
      </w:r>
      <w:r>
        <w:t xml:space="preserve"> laws. Today that judgment sits with engineering and the product lead. This hire makes it an owned discipline — the person who makes every pilot, corpus label, and regulator conversation compliant, credible and conversion-ready. The single largest program risk on our register is named: </w:t>
      </w:r>
      <w:r>
        <w:rPr>
          <w:i/>
        </w:rPr>
        <w:t>"pipeline outruns product"</w:t>
      </w:r>
      <w:r>
        <w:t>. This role is the primary mitigation on the compliance and credibility axis.</w:t>
      </w:r>
    </w:p>
    <w:p>
      <w:pPr>
        <w:pStyle w:val="Heading2"/>
      </w:pPr>
      <w:r>
        <w:t>What you will own</w:t>
      </w:r>
    </w:p>
    <w:p>
      <w:r>
        <w:rPr>
          <w:b/>
        </w:rPr>
        <w:t>1. Alpha design-partner program (first 90 days, heaviest lift)</w:t>
      </w:r>
    </w:p>
    <w:p>
      <w:pPr>
        <w:pStyle w:val="ListBullet"/>
      </w:pPr>
      <w:r>
        <w:t xml:space="preserve">Draft and negotiate design-partner / pilot terms: 90-day pilots, written-reference clauses, sanitized labelled-case contribution, </w:t>
      </w:r>
      <w:r>
        <w:rPr>
          <w:b/>
        </w:rPr>
        <w:t>data-rights clauses</w:t>
      </w:r>
      <w:r>
        <w:t xml:space="preserve"> (our pilots buy their data, not just their logo).</w:t>
      </w:r>
    </w:p>
    <w:p>
      <w:pPr>
        <w:pStyle w:val="ListBullet"/>
      </w:pPr>
      <w:r>
        <w:t>Ensure every pilot is lawful in its jurisdiction — data-transfer, secrecy and privacy handling (e.g. Swiss secrecy law for FIU/SAR-type data, UAE data rules, Malaysian PDPA + AMLA).</w:t>
      </w:r>
    </w:p>
    <w:p>
      <w:pPr>
        <w:pStyle w:val="ListBullet"/>
      </w:pPr>
      <w:r>
        <w:t>Run pilot compliance reviews with engineering so labeled dispositions flow back into the corpus legally and cleanly.</w:t>
      </w:r>
    </w:p>
    <w:p>
      <w:r>
        <w:rPr>
          <w:b/>
        </w:rPr>
        <w:t>2. Regulatory &amp; FIU engagement</w:t>
      </w:r>
    </w:p>
    <w:p>
      <w:pPr>
        <w:pStyle w:val="ListBullet"/>
      </w:pPr>
      <w:r>
        <w:t>Technical-compliance counterpart for central banks, securities regulators, FIUs and police financial-crime units (BNM, SC Malaysia, VARA/SCA, UAE FIU, CBB, SPK/MASAK, FRA Egypt, MROS-class bodies).</w:t>
      </w:r>
    </w:p>
    <w:p>
      <w:pPr>
        <w:pStyle w:val="ListBullet"/>
      </w:pPr>
      <w:r>
        <w:t xml:space="preserve">Author supervisory-grade artefacts: policy whitepapers, consultation responses, "AML/CFT expectations for digital-asset service providers" guidance, methodology papers with </w:t>
      </w:r>
      <w:r>
        <w:rPr>
          <w:b/>
        </w:rPr>
        <w:t>published precision/recall per heuristic, per chain, per corridor</w:t>
      </w:r>
      <w:r>
        <w:t>.</w:t>
      </w:r>
    </w:p>
    <w:p>
      <w:pPr>
        <w:pStyle w:val="ListBullet"/>
      </w:pPr>
      <w:r>
        <w:t>Support MENAFATF/FATF-adjacent credibility work (Travel Rule, Recommendation 15 positioning).</w:t>
      </w:r>
    </w:p>
    <w:p>
      <w:r>
        <w:rPr>
          <w:b/>
        </w:rPr>
        <w:t>3. Corpus &amp; sanctions integrity</w:t>
      </w:r>
    </w:p>
    <w:p>
      <w:pPr>
        <w:pStyle w:val="ListBullet"/>
      </w:pPr>
      <w:r>
        <w:t>Own the sanctioned-address and watchlist labelling pipeline: OFAC/EU/UK/HMG lists, court-document addresses, ransomware trackers, takedown archives — deterministic seed labels, versioned and sourced.</w:t>
      </w:r>
    </w:p>
    <w:p>
      <w:pPr>
        <w:pStyle w:val="ListBullet"/>
      </w:pPr>
      <w:r>
        <w:t>Run sanctions screening on corridor clusters and cross-border settlement rails; flag exposure before a customer finds it.</w:t>
      </w:r>
    </w:p>
    <w:p>
      <w:pPr>
        <w:pStyle w:val="ListBullet"/>
      </w:pPr>
      <w:r>
        <w:t>Define and QA labelling taxonomy with the data team: every label must survive the question "where did this attribution come from?"</w:t>
      </w:r>
    </w:p>
    <w:p>
      <w:r>
        <w:rPr>
          <w:b/>
        </w:rPr>
        <w:t>4. Casework &amp; court-grade output</w:t>
      </w:r>
    </w:p>
    <w:p>
      <w:pPr>
        <w:pStyle w:val="ListBullet"/>
      </w:pPr>
      <w:r>
        <w:t>Produce tracing reports at brief/court grade in MY, UAE and CH flavours: methodology section, source citations, limitations, reproducibility.</w:t>
      </w:r>
    </w:p>
    <w:p>
      <w:pPr>
        <w:pStyle w:val="ListBullet"/>
      </w:pPr>
      <w:r>
        <w:t>Support live casework with law-enforcement design partners (mule chains, scam-officer networks, exchange off-ramps) during pilots.</w:t>
      </w:r>
    </w:p>
    <w:p>
      <w:r>
        <w:rPr>
          <w:b/>
        </w:rPr>
        <w:t>5. Commercial support</w:t>
      </w:r>
    </w:p>
    <w:p>
      <w:pPr>
        <w:pStyle w:val="ListBullet"/>
      </w:pPr>
      <w:r>
        <w:t>Answer RFPs/tenders and compliance due-diligence questionnaires as the named AML/CFT SME.</w:t>
      </w:r>
    </w:p>
    <w:p>
      <w:pPr>
        <w:pStyle w:val="ListBullet"/>
      </w:pPr>
      <w:r>
        <w:t>Review customer AML policies/tools as the hook of our "day-one AML" bundles for newly licensed VASPs (Vietnam, Egypt, KSA-adjacent).</w:t>
      </w:r>
    </w:p>
    <w:p>
      <w:pPr>
        <w:pStyle w:val="ListBullet"/>
      </w:pPr>
      <w:r>
        <w:t>Train pilots: run ChainSentry methodology workshops for compliance teams and investigators.</w:t>
      </w:r>
    </w:p>
    <w:p>
      <w:pPr>
        <w:pStyle w:val="Heading2"/>
      </w:pPr>
      <w:r>
        <w:t>What you bring (must-have)</w:t>
      </w:r>
    </w:p>
    <w:p>
      <w:pPr>
        <w:pStyle w:val="ListBullet"/>
      </w:pPr>
      <w:r>
        <w:t xml:space="preserve">4–8 years AML/CFT/financial-crime experience, of which ≥2 hands-on with </w:t>
      </w:r>
      <w:r>
        <w:rPr>
          <w:b/>
        </w:rPr>
        <w:t>blockchain / digital-asset</w:t>
      </w:r>
      <w:r>
        <w:t xml:space="preserve"> crime: typologies, tracing, exchange risk monitoring, Travel Rule.</w:t>
      </w:r>
    </w:p>
    <w:p>
      <w:pPr>
        <w:pStyle w:val="ListBullet"/>
      </w:pPr>
      <w:r>
        <w:t>Came from the buy side of this problem: VASP compliance, bank AML/CFT, FIU analyst, LE financial-crime analyst, or forensic/consultancy crypto investigations.</w:t>
      </w:r>
    </w:p>
    <w:p>
      <w:pPr>
        <w:pStyle w:val="ListBullet"/>
      </w:pPr>
      <w:r>
        <w:t xml:space="preserve">Working fluency in at least one primary framework: FATF (R.15, Travel Rule), plus one of </w:t>
      </w:r>
      <w:r>
        <w:rPr>
          <w:b/>
        </w:rPr>
        <w:t>Malaysian AMLA 2001 + BNM PDS/DPMS policy documents + SC digital-asset guidelines</w:t>
      </w:r>
      <w:r>
        <w:t xml:space="preserve">, </w:t>
      </w:r>
      <w:r>
        <w:rPr>
          <w:b/>
        </w:rPr>
        <w:t>VARA Rulebook</w:t>
      </w:r>
      <w:r>
        <w:t xml:space="preserve">, </w:t>
      </w:r>
      <w:r>
        <w:rPr>
          <w:b/>
        </w:rPr>
        <w:t>UAE AML/CFT Federal Decree-Law</w:t>
      </w:r>
      <w:r>
        <w:t xml:space="preserve">, </w:t>
      </w:r>
      <w:r>
        <w:rPr>
          <w:b/>
        </w:rPr>
        <w:t>Turkish Law 7518/MASAK</w:t>
      </w:r>
      <w:r>
        <w:t xml:space="preserve">, or </w:t>
      </w:r>
      <w:r>
        <w:rPr>
          <w:b/>
        </w:rPr>
        <w:t>Swiss GATA/AMLO</w:t>
      </w:r>
      <w:r>
        <w:t>.</w:t>
      </w:r>
    </w:p>
    <w:p>
      <w:pPr>
        <w:pStyle w:val="ListBullet"/>
      </w:pPr>
      <w:r>
        <w:rPr>
          <w:b/>
        </w:rPr>
        <w:t>CAMS</w:t>
      </w:r>
      <w:r>
        <w:t xml:space="preserve"> (active or committed within 12 months); CFCS, ICA or equivalent a plus.</w:t>
      </w:r>
    </w:p>
    <w:p>
      <w:pPr>
        <w:pStyle w:val="ListBullet"/>
      </w:pPr>
      <w:r>
        <w:t>Can write regulatory-grade English prose (you will submit public consultation responses); BM and/or Arabic a genuine advantage; Turkish/Vietnamese/Russian a differentiator.</w:t>
      </w:r>
    </w:p>
    <w:p>
      <w:pPr>
        <w:pStyle w:val="ListBullet"/>
      </w:pPr>
      <w:r>
        <w:t>Comfortable opening a block explorer and following USDT-TRON through peel chains and mixers yourself — you don't have to code, but you must not need someone else to trace.</w:t>
      </w:r>
    </w:p>
    <w:p>
      <w:pPr>
        <w:pStyle w:val="ListBullet"/>
      </w:pPr>
      <w:r>
        <w:t>Judgment under sovereignty optics: understands why a Swiss FIU, a Malaysian examiner and a Dubai regulator each say no, and what "proportionate supervision" actually means to each.</w:t>
      </w:r>
    </w:p>
    <w:p>
      <w:pPr>
        <w:pStyle w:val="Heading2"/>
      </w:pPr>
      <w:r>
        <w:t>Nice-to-have</w:t>
      </w:r>
    </w:p>
    <w:p>
      <w:pPr>
        <w:pStyle w:val="ListBullet"/>
      </w:pPr>
      <w:r>
        <w:t>Prior design-partner / pilot / PoC program ownership in a RegTech or fintech.</w:t>
      </w:r>
    </w:p>
    <w:p>
      <w:pPr>
        <w:pStyle w:val="ListBullet"/>
      </w:pPr>
      <w:r>
        <w:t>Published writing (methodology, policy commentary) or expert-witness / regulatory-consultation experience.</w:t>
      </w:r>
    </w:p>
    <w:p>
      <w:pPr>
        <w:pStyle w:val="ListBullet"/>
      </w:pPr>
      <w:r>
        <w:t>Experience with incumbent tooling (Chainalysis/TrmLabs/Elliptic) — you will help us displace it honestly.</w:t>
      </w:r>
    </w:p>
    <w:p>
      <w:pPr>
        <w:pStyle w:val="ListBullet"/>
      </w:pPr>
      <w:r>
        <w:t>Regional network: MY regulators, GCC consultancies/Big-4 forensic arms, SEA VASP compliance desks.</w:t>
      </w:r>
    </w:p>
    <w:p>
      <w:pPr>
        <w:pStyle w:val="ListBullet"/>
      </w:pPr>
      <w:r>
        <w:t>E-KYC/fraud assurance awareness (deepfake document detection) — our G6 console.</w:t>
      </w:r>
    </w:p>
    <w:p>
      <w:pPr>
        <w:pStyle w:val="Heading2"/>
      </w:pPr>
      <w:r>
        <w:t>What we offer</w:t>
      </w:r>
    </w:p>
    <w:p>
      <w:pPr>
        <w:pStyle w:val="ListBullet"/>
      </w:pPr>
      <w:r>
        <w:t>A seat at the table of a sovereign blockchain-forensics product while it is still being shaped — your methodology choices become the product's doctrine.</w:t>
      </w:r>
    </w:p>
    <w:p>
      <w:pPr>
        <w:pStyle w:val="ListBullet"/>
      </w:pPr>
      <w:r>
        <w:t>Direct exposure to central banks, FIUs and national police units across three continents within year one.</w:t>
      </w:r>
    </w:p>
    <w:p>
      <w:pPr>
        <w:pStyle w:val="ListBullet"/>
      </w:pPr>
      <w:r>
        <w:t>Real budget and authority over compliance posture (we will not hire you to write policies nobody implements).</w:t>
      </w:r>
    </w:p>
    <w:p>
      <w:pPr>
        <w:pStyle w:val="ListBullet"/>
      </w:pPr>
      <w:r>
        <w:t>Travel, regional visibility, and a published-methodology reputation you can own publicly.</w:t>
      </w:r>
    </w:p>
    <w:p>
      <w:pPr>
        <w:pStyle w:val="Heading2"/>
      </w:pPr>
      <w:r>
        <w:t>How to assess (internal note — strip before posting)</w:t>
      </w:r>
    </w:p>
    <w:p>
      <w:r>
        <w:t>Screen on: (1) one writing sample — a 1-page mock "AML expectations for a VN pilot-licensed exchange"; (2) a live tracing exercise on a public cluster; (3) negotiation instincts on a sample data-rights clause. Red flag: candidate who only knows seat-based incumbent workflows and insists corpus beats deployability — that is the exact objection our wedge exists to break.</w:t>
      </w:r>
    </w:p>
    <w:p>
      <w:r>
        <w:rPr>
          <w:i/>
        </w:rPr>
        <w:t>Grounding: ChainSentry STRATEGY.md v2 (positioning, gates G1–G6, alpha program, corpus roadmap, §10 team gap) · OPP-20261006-001..004 · ACT-20261006-008 (design-partner terms) · RSK-20261006-001 · roster target CH-07 (Incore sanctions screen) · target-roster.csv (50) · mea-roster.csv (72).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