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 of Compliance &amp; Market Trust</w:t>
      </w:r>
    </w:p>
    <w:p>
      <w:r>
        <w:rPr>
          <w:b/>
        </w:rPr>
        <w:t>Fiato Malaysia  ×  ChainSentry  ·  Aras Integrasi Sdn Bhd  ·  Kuala Lumpur (Hybrid)  ·  Full-time</w:t>
      </w:r>
    </w:p>
    <w:p>
      <w:pPr>
        <w:pStyle w:val="Heading2"/>
      </w:pPr>
      <w:r>
        <w:t>About Us</w:t>
      </w:r>
    </w:p>
    <w:p>
      <w:r>
        <w:t>Aras Integrasi Sdn Bhd is a Malaysian technology company operating at the intersection of regulated payments and blockchain intelligence. Through Fiato Malaysia, it is establishing a crypto-to-local payment settlement service — enabling businesses to accept cryptocurrency payments and receive settlement in Ringgit in real time. Through ChainSentry, it builds blockchain forensics and AML tracing capability for regulated institutions at home and abroad.</w:t>
      </w:r>
    </w:p>
    <w:p>
      <w:r>
        <w:t>Both products live or die on the same thing: trust. Banks that settle payment flows, regulators who supervise them, merchants who onboard them, and investigators who rely on tracing outputs all extend trust only to institutions whose compliance is demonstrably real. This role exists to build that demonstration — for both products — and to own it.</w:t>
      </w:r>
    </w:p>
    <w:p>
      <w:pPr>
        <w:pStyle w:val="Heading2"/>
      </w:pPr>
      <w:r>
        <w:t>About the Role</w:t>
      </w:r>
    </w:p>
    <w:p>
      <w:r>
        <w:t>As Head of Compliance &amp; Market Trust, you are the named compliance leader for Fiato's Malaysian establishment and the senior trust authority for ChainSentry's market positioning. You report to the Chief Operating Officer, work directly with engineering and product teams, and are the interface between both products and their regulators — Bank Negara Malaysia, the Securities Commission Malaysia, and counterpart regulators in every market ChainSentry enters.</w:t>
      </w:r>
    </w:p>
    <w:p>
      <w:r>
        <w:t>You will straddle two worlds every day: the technology company building the products, and the financial-services discipline that makes them lawful, examinable, and believable. Your learning curve on the crypto side is deliberately engineered into the role — the questions you ask in month one become product capabilities by month twelve.</w:t>
      </w:r>
    </w:p>
    <w:p>
      <w:r>
        <w:rPr>
          <w:b/>
        </w:rPr>
        <w:t>Your mandate is twofold:</w:t>
      </w:r>
    </w:p>
    <w:p>
      <w:pPr>
        <w:pStyle w:val="ListNumber"/>
      </w:pPr>
      <w:r>
        <w:t>Establish Fiato Malaysia as a trusted payment institution — compliant, exam-ready, and bank-partnerable under the Malaysian regulatory regime.</w:t>
      </w:r>
    </w:p>
    <w:p>
      <w:pPr>
        <w:pStyle w:val="ListNumber"/>
      </w:pPr>
      <w:r>
        <w:t>Make ChainSentry a trusted local and international brand — the tracing platform a regulated institution in any jurisdiction can defend choosing, to its regulator, its board, and in court.</w:t>
      </w:r>
    </w:p>
    <w:p>
      <w:pPr>
        <w:pStyle w:val="Heading2"/>
      </w:pPr>
      <w:r>
        <w:t>Key Responsibilities</w:t>
      </w:r>
    </w:p>
    <w:p>
      <w:pPr>
        <w:pStyle w:val="Heading3"/>
      </w:pPr>
      <w:r>
        <w:t>Task 1 — Establish Fiato Malaysia as a Trusted Company</w:t>
      </w:r>
    </w:p>
    <w:p>
      <w:pPr>
        <w:pStyle w:val="ListBullet"/>
      </w:pPr>
      <w:r>
        <w:t>Build the Malaysian compliance architecture from the ground up. Adapt Fiato's existing AML/CFT programme (currently framed under Nigerian law — Central Bank of Nigeria, NFIU) to the Malaysian regime: Bank Negara Malaysia AML/CFT policy documents, the Anti-Money Laundering, Anti-Terrorism Financing and Proceeds of Unlawful Activities Act 2001 (AMLATFPUAA), and the licensing/supervisory perimeter applicable to the intended service model (e-money, money services business, or digital-asset intermediary under BNM/SC — determine and document).</w:t>
      </w:r>
    </w:p>
    <w:p>
      <w:pPr>
        <w:pStyle w:val="ListBullet"/>
      </w:pPr>
      <w:r>
        <w:t>Own customer due diligence end-to-end. Stand up CDD/EDD standards, sanctions and name screening calibrated to Malaysian and international lists (UN, EU, US, relevant Malaysian designations), and ongoing transaction-monitoring rules with documented tuning evidence.</w:t>
      </w:r>
    </w:p>
    <w:p>
      <w:pPr>
        <w:pStyle w:val="ListBullet"/>
      </w:pPr>
      <w:r>
        <w:t>Produce the examiner-ready file. Maintain governance artefacts that survive regulatory examination: risk-assessment methodology, escalation and reporting channels, five-year record retention, compliance calendar, and the annual (moving to quarterly) policy review cycle.</w:t>
      </w:r>
    </w:p>
    <w:p>
      <w:pPr>
        <w:pStyle w:val="ListBullet"/>
      </w:pPr>
      <w:r>
        <w:t>Win the trust of the institutions Fiato needs. Prepare the due-diligence packs that correspondent and partner banks, PSPs, and enterprise merchants require before plugging into a payment provider — KYB standards, settlement-partner documentation, and service-organisation style disclosures.</w:t>
      </w:r>
    </w:p>
    <w:p>
      <w:pPr>
        <w:pStyle w:val="ListBullet"/>
      </w:pPr>
      <w:r>
        <w:t>Represent Fiato to regulators and banking partners as its compliance officer and public compliance voice — engagement, examinations, filings, and board-level reporting on programme health and effectiveness.</w:t>
      </w:r>
    </w:p>
    <w:p>
      <w:pPr>
        <w:pStyle w:val="Heading3"/>
      </w:pPr>
      <w:r>
        <w:t>Task 2 — Make ChainSentry a Trusted Local and International Brand</w:t>
      </w:r>
    </w:p>
    <w:p>
      <w:pPr>
        <w:pStyle w:val="ListBullet"/>
      </w:pPr>
      <w:r>
        <w:t>Translate regulation into product. Map Malaysian obligations (BNM AML/CFT policy, SC RM Guidelines, AMLATFPUAA) and international standards (FATF Recommendations 15 and 20, Travel Rule, MiCA horizon, APAC/GCC corridors) into concrete, prioritised requirements in the product backlog. Own the Trust Requirements Spec jointly with engineering.</w:t>
      </w:r>
    </w:p>
    <w:p>
      <w:pPr>
        <w:pStyle w:val="ListBullet"/>
      </w:pPr>
      <w:r>
        <w:t>Define the evidentiary standard. Establish what "court-grade export" means for tracing outputs — chain-of-custody, exhibit packaging, affidavit support — and hold veto authority over any evidentiary claim made about the product publicly.</w:t>
      </w:r>
    </w:p>
    <w:p>
      <w:pPr>
        <w:pStyle w:val="ListBullet"/>
      </w:pPr>
      <w:r>
        <w:t>Govern every claim. Claims-audit all sales decks, marketing collateral, and webinars — Malaysian and international versions alike — before release. In a market where buyers are compliance professionals, one overstated claim can end a procurement conversation permanently; you are the control.</w:t>
      </w:r>
    </w:p>
    <w:p>
      <w:pPr>
        <w:pStyle w:val="ListBullet"/>
      </w:pPr>
      <w:r>
        <w:t>Build the reference engine. Convert Malaysian design partners into named references, then international case studies; open and maintain the engagement channel with BNM/SC as a compliance peer rather than a vendor; author the ChainSentry methodology whitepaper (Malaysian edition, then international supplement).</w:t>
      </w:r>
    </w:p>
    <w:p>
      <w:pPr>
        <w:pStyle w:val="ListBullet"/>
      </w:pPr>
      <w:r>
        <w:t>Take the brand onto the regional stage. Represent ChainSentry at regional compliance conferences and working groups; by month twelve, the international bar is a procurement checklist line won against an incumbent foreign vendor.</w:t>
      </w:r>
    </w:p>
    <w:p>
      <w:pPr>
        <w:pStyle w:val="Heading2"/>
      </w:pPr>
      <w:r>
        <w:t>Success in the First Twelve Months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Horizon</w:t>
            </w:r>
          </w:p>
        </w:tc>
        <w:tc>
          <w:tcPr>
            <w:tcW w:type="dxa" w:w="2880"/>
          </w:tcPr>
          <w:p>
            <w:r>
              <w:rPr>
                <w:b/>
              </w:rPr>
              <w:t>Fiato Malaysia</w:t>
            </w:r>
          </w:p>
        </w:tc>
        <w:tc>
          <w:tcPr>
            <w:tcW w:type="dxa" w:w="2880"/>
          </w:tcPr>
          <w:p>
            <w:r>
              <w:rPr>
                <w:b/>
              </w:rPr>
              <w:t>ChainSentry</w:t>
            </w:r>
          </w:p>
        </w:tc>
      </w:tr>
      <w:tr>
        <w:tc>
          <w:tcPr>
            <w:tcW w:type="dxa" w:w="2880"/>
          </w:tcPr>
          <w:p>
            <w:r>
              <w:t>Day 30</w:t>
            </w:r>
          </w:p>
        </w:tc>
        <w:tc>
          <w:tcPr>
            <w:tcW w:type="dxa" w:w="2880"/>
          </w:tcPr>
          <w:p>
            <w:r>
              <w:t>Malaysian regulatory-perimeter determination + compliance gap assessment, delivered to COO</w:t>
            </w:r>
          </w:p>
        </w:tc>
        <w:tc>
          <w:tcPr>
            <w:tcW w:type="dxa" w:w="2880"/>
          </w:tcPr>
          <w:p>
            <w:r>
              <w:t>Trust Requirements Spec v1 (MY + two target jurisdictions) signed by COO as backlog commitments</w:t>
            </w:r>
          </w:p>
        </w:tc>
      </w:tr>
      <w:tr>
        <w:tc>
          <w:tcPr>
            <w:tcW w:type="dxa" w:w="2880"/>
          </w:tcPr>
          <w:p>
            <w:r>
              <w:t>Day 90</w:t>
            </w:r>
          </w:p>
        </w:tc>
        <w:tc>
          <w:tcPr>
            <w:tcW w:type="dxa" w:w="2880"/>
          </w:tcPr>
          <w:p>
            <w:r>
              <w:t>CDD/EDD and monitoring framework operating; remediation roadmap adopted</w:t>
            </w:r>
          </w:p>
        </w:tc>
        <w:tc>
          <w:tcPr>
            <w:tcW w:type="dxa" w:w="2880"/>
          </w:tcPr>
          <w:p>
            <w:r>
              <w:t>≥3 Malaysian design partners engaged; crypto-STR playbook v1 drafted; all collateral claims-audited</w:t>
            </w:r>
          </w:p>
        </w:tc>
      </w:tr>
      <w:tr>
        <w:tc>
          <w:tcPr>
            <w:tcW w:type="dxa" w:w="2880"/>
          </w:tcPr>
          <w:p>
            <w:r>
              <w:t>Month 6</w:t>
            </w:r>
          </w:p>
        </w:tc>
        <w:tc>
          <w:tcPr>
            <w:tcW w:type="dxa" w:w="2880"/>
          </w:tcPr>
          <w:p>
            <w:r>
              <w:t>Examiner-ready file drafted; first partner-bank due-diligence pack delivered</w:t>
            </w:r>
          </w:p>
        </w:tc>
        <w:tc>
          <w:tcPr>
            <w:tcW w:type="dxa" w:w="2880"/>
          </w:tcPr>
          <w:p>
            <w:r>
              <w:t>Named-reference pilot №1 live; whitepaper Malaysian edition published</w:t>
            </w:r>
          </w:p>
        </w:tc>
      </w:tr>
      <w:tr>
        <w:tc>
          <w:tcPr>
            <w:tcW w:type="dxa" w:w="2880"/>
          </w:tcPr>
          <w:p>
            <w:r>
              <w:t>Month 12</w:t>
            </w:r>
          </w:p>
        </w:tc>
        <w:tc>
          <w:tcPr>
            <w:tcW w:type="dxa" w:w="2880"/>
          </w:tcPr>
          <w:p>
            <w:r>
              <w:t>Sanctions programme independently tested; board reporting pack operating</w:t>
            </w:r>
          </w:p>
        </w:tc>
        <w:tc>
          <w:tcPr>
            <w:tcW w:type="dxa" w:w="2880"/>
          </w:tcPr>
          <w:p>
            <w:r>
              <w:t>≥2 named-reference pilots; international whitepaper supplement; ≥1 international appearance; procurement-checklist win</w:t>
            </w:r>
          </w:p>
        </w:tc>
      </w:tr>
    </w:tbl>
    <w:p>
      <w:pPr>
        <w:pStyle w:val="Heading2"/>
      </w:pPr>
      <w:r>
        <w:t>About You</w:t>
      </w:r>
    </w:p>
    <w:p>
      <w:pPr>
        <w:pStyle w:val="ListBullet"/>
      </w:pPr>
      <w:r>
        <w:t>8+ years in AML/CFT, financial-crime compliance, or regulatory compliance within banking, payments, insurance/takaful, or capital markets — with hands-on STR/SAR authorship, FIU-facing reporting, and regulator engagement (written examinations and inspections, not just correspondence).</w:t>
      </w:r>
    </w:p>
    <w:p>
      <w:pPr>
        <w:pStyle w:val="ListBullet"/>
      </w:pPr>
      <w:r>
        <w:t>Programme-builder experience: designing or materially upgrading an AML/CFT or compliance framework — policy, CDD/EDD, monitoring, reporting, training — not only operating inherited programmes.</w:t>
      </w:r>
    </w:p>
    <w:p>
      <w:pPr>
        <w:pStyle w:val="ListBullet"/>
      </w:pPr>
      <w:r>
        <w:t>Screening and monitoring tooling fluency (e.g. Refinitiv World-Check, Dow Jones Risk, Napier, Actimize or comparable), and comfort translating tool output into board-level reporting.</w:t>
      </w:r>
    </w:p>
    <w:p>
      <w:pPr>
        <w:pStyle w:val="ListBullet"/>
      </w:pPr>
      <w:r>
        <w:t>Regulator-facing gravitas: you can brief a room of MLROs, sit across an examiner, and be the named compliance officer of record without vendor fog.</w:t>
      </w:r>
    </w:p>
    <w:p>
      <w:pPr>
        <w:pStyle w:val="ListBullet"/>
      </w:pPr>
      <w:r>
        <w:t>Excellent written English; working Bahasa Malaysia sufficient for regulatory correspondence.</w:t>
      </w:r>
    </w:p>
    <w:p>
      <w:pPr>
        <w:pStyle w:val="ListBullet"/>
      </w:pPr>
      <w:r>
        <w:t>Recognised certification (CAMCO/AICB, ICA Diploma, CAMS or equivalent).</w:t>
      </w:r>
    </w:p>
    <w:p>
      <w:r>
        <w:rPr>
          <w:b/>
        </w:rPr>
        <w:t>Nice to have</w:t>
      </w:r>
    </w:p>
    <w:p>
      <w:pPr>
        <w:pStyle w:val="ListBullet"/>
      </w:pPr>
      <w:r>
        <w:t>Exposure to crypto-assets, payment services, or VA-intermediary supervision — not a gate: a structured 30-day technology immersion (mental models, typologies, hands-on product casework, assessed brief) is funded and scheduled as part of onboarding.</w:t>
      </w:r>
    </w:p>
    <w:p>
      <w:pPr>
        <w:pStyle w:val="ListBullet"/>
      </w:pPr>
      <w:r>
        <w:t>Experience preparing service-organisation or bank-counterparty due-diligence packs.</w:t>
      </w:r>
    </w:p>
    <w:p>
      <w:pPr>
        <w:pStyle w:val="ListBullet"/>
      </w:pPr>
      <w:r>
        <w:t>Court or tribunal experience with documentary evidence.</w:t>
      </w:r>
    </w:p>
    <w:p>
      <w:pPr>
        <w:pStyle w:val="Heading2"/>
      </w:pPr>
      <w:r>
        <w:t>What We Offer</w:t>
      </w:r>
    </w:p>
    <w:p>
      <w:pPr>
        <w:pStyle w:val="ListBullet"/>
      </w:pPr>
      <w:r>
        <w:t>The named compliance seat of a newly establishing regulated payment operation — a ground-floor build, not inherited maintenance.</w:t>
      </w:r>
    </w:p>
    <w:p>
      <w:pPr>
        <w:pStyle w:val="ListBullet"/>
      </w:pPr>
      <w:r>
        <w:t>Dual-product scope rarely available in a single role: payments compliance and blockchain-forensics market trust.</w:t>
      </w:r>
    </w:p>
    <w:p>
      <w:pPr>
        <w:pStyle w:val="ListBullet"/>
      </w:pPr>
      <w:r>
        <w:t>Direct engineering access with committed turnaround on compliance-driven requirements; your first-month questions become product capabilities.</w:t>
      </w:r>
    </w:p>
    <w:p>
      <w:pPr>
        <w:pStyle w:val="ListBullet"/>
      </w:pPr>
      <w:r>
        <w:t>Conference, whitepaper, and certification budget under your own name; regional travel; equity participation story (details at offer).</w:t>
      </w:r>
    </w:p>
    <w:p>
      <w:pPr>
        <w:pStyle w:val="ListBullet"/>
      </w:pPr>
      <w:r>
        <w:t>Line management of the compliance function as it scales; second analyst hire in the plan.</w:t>
      </w:r>
    </w:p>
    <w:p>
      <w:pPr>
        <w:pStyle w:val="Heading2"/>
      </w:pPr>
      <w:r>
        <w:t>Engagement Terms</w:t>
      </w:r>
    </w:p>
    <w:p>
      <w:r>
        <w:t>Full-time, Kuala Lumpur (hybrid). Indicative band RM15–20k/month commensurate with seniority, plus performance bonus keyed to the twelve-month outcomes above (indicative, subject to owner confirmation before posting). International alignment: a senior-advisor variant (two days/week, pro-rated) is available for exceptional in-market candidates — discuss at interview.</w:t>
      </w:r>
    </w:p>
    <w:p>
      <w:pPr>
        <w:pStyle w:val="Heading2"/>
      </w:pPr>
      <w:r>
        <w:t>Appendix — Role Benchmarks (Internal Note, Remove Before Posting)</w:t>
      </w:r>
    </w:p>
    <w:p>
      <w:r>
        <w:t>This JD is modelled on the compliance-officer postings of category-leading regulated crypto/payments companies, reviewed 16-Oct-2026:</w:t>
      </w:r>
    </w:p>
    <w:p>
      <w:pPr>
        <w:pStyle w:val="ListBullet"/>
      </w:pPr>
      <w:r>
        <w:t>Stripe — "Thailand Compliance Officer &amp; Money Laundering Reporting Officer" (Greenhouse, id 8076966): named country RC/MLRO, principal decision-maker for in-country compliance, board-of-directors programme-health reporting, direct regulator engagement — the direct analogue of Task 1.</w:t>
      </w:r>
    </w:p>
    <w:p>
      <w:pPr>
        <w:pStyle w:val="ListBullet"/>
      </w:pPr>
      <w:r>
        <w:t>Stripe — "Regulatory Reporting Program Manager, Stablecoin" (id 7650177): owning the regulatory-requirements inventory per entity, end-to-end reporting governance, "comfortable straddling technology and financial services" — the direct analogue of Task 2's ChainSentry half.</w:t>
      </w:r>
    </w:p>
    <w:p>
      <w:pPr>
        <w:pStyle w:val="ListBullet"/>
      </w:pPr>
      <w:r>
        <w:t>Binance — "Compliance Officer, Payments (Kazakhstan)" and "Deputy MLRO, Taiwan": the country-payment-compliance-officer pattern this role adopts for Fiato Malaysia.</w:t>
      </w:r>
    </w:p>
    <w:p>
      <w:r>
        <w:t>Verification state: Fiato product claims on fiato.io (business counts, processed volumes) are site-claimed, not independently audited; the company's current published AML/CFT policy is Nigerian-law based (verified at source 16-Oct-2026) — its adaptation to the Malaysian regime is precisely the substance of Task 1. Candidate selection materials cite self-reported qualifications pending reference checks. Compensation band indicative pending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Aras Integrasi Sdn Bhd — Careers — Confidential Draft (16-Oct-2026)</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rPr>
      <w:rFonts w:ascii="Calibri" w:hAnsi="Calibri"/>
      <w:b/>
      <w:color w:val="7F7F7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