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AML/CFT Specialist — Blockchain Financial Crime &amp; Compliance</w:t>
      </w:r>
    </w:p>
    <w:p>
      <w:r>
        <w:rPr>
          <w:b/>
        </w:rPr>
        <w:t>Position ID:</w:t>
      </w:r>
      <w:r>
        <w:t xml:space="preserve"> CS-AML-001</w:t>
      </w:r>
    </w:p>
    <w:p>
      <w:r>
        <w:rPr>
          <w:b/>
        </w:rPr>
        <w:t>Company:</w:t>
      </w:r>
      <w:r>
        <w:t xml:space="preserve"> Aras Integrasi Sdn Bhd — ChainSentry Product Division</w:t>
      </w:r>
    </w:p>
    <w:p>
      <w:r>
        <w:rPr>
          <w:b/>
        </w:rPr>
        <w:t>Department:</w:t>
      </w:r>
      <w:r>
        <w:t xml:space="preserve"> Product &amp; Commercial (ChainSentry)</w:t>
      </w:r>
    </w:p>
    <w:p>
      <w:r>
        <w:rPr>
          <w:b/>
        </w:rPr>
        <w:t>Reports to:</w:t>
      </w:r>
      <w:r>
        <w:t xml:space="preserve"> Solutions Architect / Product Lead, ChainSentry — dotted line to Chief Operating Officer for contractual and commercial matters</w:t>
      </w:r>
    </w:p>
    <w:p>
      <w:r>
        <w:rPr>
          <w:b/>
        </w:rPr>
        <w:t>Direct reports:</w:t>
      </w:r>
      <w:r>
        <w:t xml:space="preserve"> None at appointment (expected to own contractor/junior analyst support within year one)</w:t>
      </w:r>
    </w:p>
    <w:p>
      <w:r>
        <w:rPr>
          <w:b/>
        </w:rPr>
        <w:t>Grade:</w:t>
      </w:r>
      <w:r>
        <w:t xml:space="preserve"> Senior Executive / Assistant Manager, commensurate with 4–8 years relevant experience</w:t>
      </w:r>
    </w:p>
    <w:p>
      <w:r>
        <w:rPr>
          <w:b/>
        </w:rPr>
        <w:t>Location:</w:t>
      </w:r>
      <w:r>
        <w:t xml:space="preserve"> Kuala Lumpur, Malaysia (hybrid working policy)</w:t>
      </w:r>
    </w:p>
    <w:p>
      <w:r>
        <w:rPr>
          <w:b/>
        </w:rPr>
        <w:t>Travel:</w:t>
      </w:r>
      <w:r>
        <w:t xml:space="preserve"> Approximately 15–20% — Ho Chi Minh City, Bangkok, Dubai, occasionally Manama, Istanbul, Zürich</w:t>
      </w:r>
    </w:p>
    <w:p>
      <w:r>
        <w:rPr>
          <w:b/>
        </w:rPr>
        <w:t>Employment type:</w:t>
      </w:r>
      <w:r>
        <w:t xml:space="preserve"> Full-time, permanent. Probationary period of three months with structured objectives (see Section 9)</w:t>
      </w:r>
    </w:p>
    <w:p>
      <w:r>
        <w:rPr>
          <w:b/>
        </w:rPr>
        <w:t>Salary &amp; benefits:</w:t>
      </w:r>
      <w:r>
        <w:t xml:space="preserve"> Competitive band aligned to Malaysian financial-crime market norms; band confirmed by COO before posting. Includes medical coverage, travel allowance, certification support (CAMS/ICA renewals funded), and professional-body membership.</w:t>
      </w:r>
    </w:p>
    <w:p>
      <w:pPr>
        <w:pStyle w:val="Heading2"/>
      </w:pPr>
      <w:r>
        <w:t>1. About Aras Integrasi and ChainSentry</w:t>
      </w:r>
    </w:p>
    <w:p>
      <w:r>
        <w:t xml:space="preserve">Aras Integrasi Sdn Bhd is a Malaysian technology and security integrator with an established government and regulated-industry client base, including national security-agency deployments. </w:t>
      </w:r>
      <w:r>
        <w:rPr>
          <w:b/>
        </w:rPr>
        <w:t>ChainSentry</w:t>
      </w:r>
      <w:r>
        <w:t xml:space="preserve"> is the company's sovereign blockchain-tracing and E-KYC product line.</w:t>
      </w:r>
    </w:p>
    <w:p>
      <w:r>
        <w:t>ChainSentry provides jurisdiction-first blockchain forensics for governments, financial-intelligence units (FIUs), banks and licensed virtual-asset service providers (VASPs) that US-based cloud vendors price out, cannot serve due to data-residency or sanctions optics, or leave blind on Gulf–Southeast Asia–BRICS correspondent corridors.</w:t>
      </w:r>
    </w:p>
    <w:p>
      <w:r>
        <w:t>The product's positioning is deliberate and is the standard against which this role's outputs are judged:</w:t>
      </w:r>
    </w:p>
    <w:p>
      <w:pPr>
        <w:pStyle w:val="ListBullet"/>
      </w:pPr>
      <w:r>
        <w:rPr>
          <w:b/>
        </w:rPr>
        <w:t>Sovereign deployment.</w:t>
      </w:r>
      <w:r>
        <w:t xml:space="preserve"> The customer's cases never leave the customer's jurisdiction. The product runs on-premises or in a jurisdiction-locked hosted instance, and the customer can audit the deployment.</w:t>
      </w:r>
    </w:p>
    <w:p>
      <w:pPr>
        <w:pStyle w:val="ListBullet"/>
      </w:pPr>
      <w:r>
        <w:rPr>
          <w:b/>
        </w:rPr>
        <w:t>Corridor coverage.</w:t>
      </w:r>
      <w:r>
        <w:t xml:space="preserve"> Measurable, sourced attribution depth on the USDT/TRON Gulf-to-SEA off-ramp graph and adjacent MENA/SEA corridors — the graph the incumbents underlabel.</w:t>
      </w:r>
    </w:p>
    <w:p>
      <w:pPr>
        <w:pStyle w:val="ListBullet"/>
      </w:pPr>
      <w:r>
        <w:rPr>
          <w:b/>
        </w:rPr>
        <w:t>Auditability.</w:t>
      </w:r>
      <w:r>
        <w:t xml:space="preserve"> Detection methodology, label provenance and per-corridor precision/recall are published, not proprietary. We expect every label to be defensible in the customer's court.</w:t>
      </w:r>
    </w:p>
    <w:p>
      <w:r>
        <w:t>ChainSentry is currently assembling a design-partner cohort of approximately 120 candidate institutions across Malaysia, Vietnam, Thailand, the Philippines, Indonesia, Singapore, the UAE, Bahrain, Saudi Arabia, Qatar, Kuwait, Oman, Jordan, Turkey, Egypt, Lebanon, Morocco and Switzerland. This cohort mixes regulators and FIUs, licensed exchanges and e-money institutions, banks and tokenisation platforms, and professional-services channels.</w:t>
      </w:r>
    </w:p>
    <w:p>
      <w:pPr>
        <w:pStyle w:val="Heading2"/>
      </w:pPr>
      <w:r>
        <w:t>2. Why this role exists</w:t>
      </w:r>
    </w:p>
    <w:p>
      <w:r>
        <w:t>ChainSentry's go-to-market is compliance-led. Regulators and supervised entities adopt a tracing tool only when three conditions hold: the methodology is defensible before their courts, the data handling satisfies their laws, and the vendor can sit across the table from an examiner as a credible peer. Those three conditions are a discipline, and today that discipline is carried informally by engineering and the product lead.</w:t>
      </w:r>
    </w:p>
    <w:p>
      <w:r>
        <w:t>The company's named top program risk is that the commercial pipeline outruns the product: a large roster of well-known institutions creates expectation in small regulator circles, and unhandled compliance friction in early pilots converts goodwill into cautionary tales. This role is the primary mitigation on the compliance and credibility axis of that risk. It converts pilot agreements into lawful, evidence-preserving engagements; it makes the attribution corpus defensible; and it answers regulators in their own language, so the company's leadership is not the single point of financial-crime judgment across four time zones.</w:t>
      </w:r>
    </w:p>
    <w:p>
      <w:r>
        <w:t xml:space="preserve">This role does </w:t>
      </w:r>
      <w:r>
        <w:rPr>
          <w:b/>
        </w:rPr>
        <w:t>not</w:t>
      </w:r>
      <w:r>
        <w:t xml:space="preserve"> replace sales capacity; it makes sales compliant and pilots defensible. The distinction is deliberate and is reflected in the objectives below.</w:t>
      </w:r>
    </w:p>
    <w:p>
      <w:pPr>
        <w:pStyle w:val="Heading2"/>
      </w:pPr>
      <w:r>
        <w:t>3. Role summary</w:t>
      </w:r>
    </w:p>
    <w:p>
      <w:r>
        <w:t>Own the AML/CFT compliance posture of ChainSentry's alpha/design-partner program and its expansion: pilot contracting and data-governance terms, jurisdictional lawfulness of every engagement, sanctions and watchlist integrity of the attribution corpus, court-grade casework output, and the company's written presence before regulators and supervisors. The role is a practitioner position with program-ownership weight — hands-on casework and drafting in year one, with first-line analyst leadership as the cohort scales.</w:t>
      </w:r>
    </w:p>
    <w:p>
      <w:pPr>
        <w:pStyle w:val="Heading2"/>
      </w:pPr>
      <w:r>
        <w:t>4. Key accountabilities</w:t>
      </w:r>
    </w:p>
    <w:p>
      <w:pPr>
        <w:pStyle w:val="Heading3"/>
      </w:pPr>
      <w:r>
        <w:t>4.1 Design-partner program governance (first 90 days: heaviest lift)</w:t>
      </w:r>
    </w:p>
    <w:p>
      <w:pPr>
        <w:pStyle w:val="ListBullet"/>
      </w:pPr>
      <w:r>
        <w:t xml:space="preserve">Draft, negotiate and administer the design-partner agreement suite: 90-day pilot term sheet, written-reference and quotation clauses, sanitised labelled-case contribution terms, and the </w:t>
      </w:r>
      <w:r>
        <w:rPr>
          <w:b/>
        </w:rPr>
        <w:t>data-rights clause</w:t>
      </w:r>
      <w:r>
        <w:t xml:space="preserve"> — the provision that treats a pilot's labelled dispositions as paid consideration, not an afterthought.</w:t>
      </w:r>
    </w:p>
    <w:p>
      <w:pPr>
        <w:pStyle w:val="ListBullet"/>
      </w:pPr>
      <w:r>
        <w:t>Maintain the pilot compliance matrix: for every active pilot, document the legal basis, the data categories crossing borders (if any), hosting location, retention schedule and destruction or return obligations.</w:t>
      </w:r>
    </w:p>
    <w:p>
      <w:pPr>
        <w:pStyle w:val="ListBullet"/>
      </w:pPr>
      <w:r>
        <w:t>Pre-empt jurisdiction-specific blockers, including at minimum: Swiss banking-secrecy and data-localisation handling for FIU-type submissions (a Swiss-hosted instance is quoted as part of the product, not as an exception); UAE federal and emirate-level data rules across VARA and SCA regimes; Malaysian PDPA and AMLA 2001 handling for law-enforcement and reporting-institution data; Vietnamese and Egyptian pilot-licence documentation obligations.</w:t>
      </w:r>
    </w:p>
    <w:p>
      <w:pPr>
        <w:pStyle w:val="ListBullet"/>
      </w:pPr>
      <w:r>
        <w:t>Run a structured compliance review with engineering before each pilot goes live, and a close-out review that certifies what corpus material may lawfully return to the shared corpus, in what sanitised form, under which clause.</w:t>
      </w:r>
    </w:p>
    <w:p>
      <w:pPr>
        <w:pStyle w:val="Heading3"/>
      </w:pPr>
      <w:r>
        <w:t>4.2 Regulatory, FIU and law-enforcement engagement</w:t>
      </w:r>
    </w:p>
    <w:p>
      <w:pPr>
        <w:pStyle w:val="ListBullet"/>
      </w:pPr>
      <w:r>
        <w:t>Act as the company's technical-compliance counterpart for central banks, securities regulators, FIUs and police financial-crime units across the target roster — including Bank Negara Malaysia (Financial Integrity / Payments), the Securities Commission Malaysia, VARA (Dubai), SCA (UAE federal), the UAE FIU, Bahrain's CBB, Turkey's MASAK and SPK, Egypt's FRA and FIU, and Swiss FIU-class bodies.</w:t>
      </w:r>
    </w:p>
    <w:p>
      <w:pPr>
        <w:pStyle w:val="ListBullet"/>
      </w:pPr>
      <w:r>
        <w:t>Author supervisory-grade artefacts: discussion papers and co-authored supervisory whitepapers, public-consultation responses that argue proportionate surveillance standards, and baseline guidance such as "AML/CFT expectations for a newly licensed digital-asset exchange."</w:t>
      </w:r>
    </w:p>
    <w:p>
      <w:pPr>
        <w:pStyle w:val="ListBullet"/>
      </w:pPr>
      <w:r>
        <w:t>Prepare and, where appropriate, co-present capability briefings to investigator audiences — methodology and recorded public-data output as the standard, with live demonstration scheduled only when the product's import pathway is demonstrable.</w:t>
      </w:r>
    </w:p>
    <w:p>
      <w:pPr>
        <w:pStyle w:val="ListBullet"/>
      </w:pPr>
      <w:r>
        <w:t>Support MENAFATF/FATF-adjacent positioning: Recommendation 15 coverage, Travel Rule obligations and implementation practice in the corridor states on the roster.</w:t>
      </w:r>
    </w:p>
    <w:p>
      <w:pPr>
        <w:pStyle w:val="Heading3"/>
      </w:pPr>
      <w:r>
        <w:t>4.3 Attribution-corpus and sanctions integrity</w:t>
      </w:r>
    </w:p>
    <w:p>
      <w:pPr>
        <w:pStyle w:val="ListBullet"/>
      </w:pPr>
      <w:r>
        <w:t>Own the sanctioned-address and watchlist labelling pipeline: OFAC, EU, UK (HMG/OFSI) and UN lists, court-document addresses, ransomware payment trackers, and takedown archives converted into deterministic seed labels — versioned, dated and source-cited.</w:t>
      </w:r>
    </w:p>
    <w:p>
      <w:pPr>
        <w:pStyle w:val="ListBullet"/>
      </w:pPr>
      <w:r>
        <w:t>Define label acceptance criteria and run QA on machine-generated clusters: no label enters the production corpus without a provenance chain that survives the question "where did this attribution come from?"</w:t>
      </w:r>
    </w:p>
    <w:p>
      <w:pPr>
        <w:pStyle w:val="ListBullet"/>
      </w:pPr>
      <w:r>
        <w:t>Perform sanctions screening on corridor clusters and cross-border settlement rails for design partners that request it, with documented false-positive handling and escalation.</w:t>
      </w:r>
    </w:p>
    <w:p>
      <w:pPr>
        <w:pStyle w:val="ListBullet"/>
      </w:pPr>
      <w:r>
        <w:t>Publish the precision/recall methodology: measurement per heuristic, per chain, per corridor, computed on the design cohort's own labelled feedback. This is a differentiator by strategy — auditable-but-young is positioned against opaque-but-old — and this role owns its credibility.</w:t>
      </w:r>
    </w:p>
    <w:p>
      <w:pPr>
        <w:pStyle w:val="ListBullet"/>
      </w:pPr>
      <w:r>
        <w:t>Maintain the corpus compliance register: what data came from which pilot under which clause, and what has been sanitised to what standard.</w:t>
      </w:r>
    </w:p>
    <w:p>
      <w:pPr>
        <w:pStyle w:val="Heading3"/>
      </w:pPr>
      <w:r>
        <w:t>4.4 Casework and court-grade reporting</w:t>
      </w:r>
    </w:p>
    <w:p>
      <w:pPr>
        <w:pStyle w:val="ListBullet"/>
      </w:pPr>
      <w:r>
        <w:t>Conduct blockchain tracing casework during pilots: mule-network mapping, scam-centre fund-flow reconstruction, exchange off-ramp identification, mixer and peel-chain handling, cross-chain bridge hops.</w:t>
      </w:r>
    </w:p>
    <w:p>
      <w:pPr>
        <w:pStyle w:val="ListBullet"/>
      </w:pPr>
      <w:r>
        <w:t>Produce tracing reports at brief and court grade — MY, UAE and CH report flavours — with methodology statement, evidence and source citations, limitations, reproducibility appendix and plain-language executive summary an investigator or examiner can forward without editing.</w:t>
      </w:r>
    </w:p>
    <w:p>
      <w:pPr>
        <w:pStyle w:val="ListBullet"/>
      </w:pPr>
      <w:r>
        <w:t>Support law-enforcement design partners through their internal processes (for example Malaysian investigation-paper support on jointly agreed cases), within agreed data boundaries.</w:t>
      </w:r>
    </w:p>
    <w:p>
      <w:pPr>
        <w:pStyle w:val="ListBullet"/>
      </w:pPr>
      <w:r>
        <w:t>Build the report template library from the first three real cases; iterate against feedback from actual readers at customer institutions.</w:t>
      </w:r>
    </w:p>
    <w:p>
      <w:pPr>
        <w:pStyle w:val="Heading3"/>
      </w:pPr>
      <w:r>
        <w:t>4.5 Commercial and bid support</w:t>
      </w:r>
    </w:p>
    <w:p>
      <w:pPr>
        <w:pStyle w:val="ListBullet"/>
      </w:pPr>
      <w:r>
        <w:t>Serve as the named AML/CFT subject-matter expert on RFP/tender responses and supplier due-diligence questionnaires; own the reusable compliance-answers library.</w:t>
      </w:r>
    </w:p>
    <w:p>
      <w:pPr>
        <w:pStyle w:val="ListBullet"/>
      </w:pPr>
      <w:r>
        <w:t>Review prospective customers' AML policies, travel-rule posture and tooling as the diagnostic hook of the "day-one AML" bundles sold to newly licensed VASPs (Vietnam pilot cohort, Egypt first-approvals cohort).</w:t>
      </w:r>
    </w:p>
    <w:p>
      <w:pPr>
        <w:pStyle w:val="ListBullet"/>
      </w:pPr>
      <w:r>
        <w:t>Support pricing conversations on compliance substance: what a proportionate licence covers, what an address-band includes, why seat-based incumbent pricing misaligns for supervised SMBs.</w:t>
      </w:r>
    </w:p>
    <w:p>
      <w:pPr>
        <w:pStyle w:val="ListBullet"/>
      </w:pPr>
      <w:r>
        <w:t>Deliver methodology workshops and investigator training during pilots; the cohort's competence with the tool is a conversion driver.</w:t>
      </w:r>
    </w:p>
    <w:p>
      <w:pPr>
        <w:pStyle w:val="Heading3"/>
      </w:pPr>
      <w:r>
        <w:t>4.6 Internal influence and product feedback</w:t>
      </w:r>
    </w:p>
    <w:p>
      <w:pPr>
        <w:pStyle w:val="ListBullet"/>
      </w:pPr>
      <w:r>
        <w:t>Convert pilot friction into product backlog: data-handling gaps, report-format gaps, audit-log requirements, and jurisdiction-specific features enter the sprint plan through this role.</w:t>
      </w:r>
    </w:p>
    <w:p>
      <w:pPr>
        <w:pStyle w:val="ListBullet"/>
      </w:pPr>
      <w:r>
        <w:t>Sit in weekly corpus reviews and pilot reviews with standing veto language on unlawful data movement — a recommendation this role makes, engineering is required to answer.</w:t>
      </w:r>
    </w:p>
    <w:p>
      <w:pPr>
        <w:pStyle w:val="Heading2"/>
      </w:pPr>
      <w:r>
        <w:t>5. Authority and decision rights</w:t>
      </w:r>
    </w:p>
    <w:p>
      <w:pPr>
        <w:pStyle w:val="ListBullet"/>
      </w:pPr>
      <w:r>
        <w:rPr>
          <w:b/>
        </w:rPr>
        <w:t>Recommend-block authority</w:t>
      </w:r>
      <w:r>
        <w:t xml:space="preserve"> on any pilot whose data handling cannot be made lawful in the customer's jurisdiction; escalation to COO within 24 hours. (Final commercial acceptance sits with the COO; the recommendation is recorded.)</w:t>
      </w:r>
    </w:p>
    <w:p>
      <w:pPr>
        <w:pStyle w:val="ListBullet"/>
      </w:pPr>
      <w:r>
        <w:rPr>
          <w:b/>
        </w:rPr>
        <w:t>Acceptance authority</w:t>
      </w:r>
      <w:r>
        <w:t xml:space="preserve"> on corpus labels and on sanitisation standards for returning pilot data.</w:t>
      </w:r>
    </w:p>
    <w:p>
      <w:pPr>
        <w:pStyle w:val="ListBullet"/>
      </w:pPr>
      <w:r>
        <w:rPr>
          <w:b/>
        </w:rPr>
        <w:t>Template authority</w:t>
      </w:r>
      <w:r>
        <w:t xml:space="preserve"> on the standard data-rights annex within parameters agreed with the COO; material deviations route to legal review.</w:t>
      </w:r>
    </w:p>
    <w:p>
      <w:pPr>
        <w:pStyle w:val="ListBullet"/>
      </w:pPr>
      <w:r>
        <w:rPr>
          <w:b/>
        </w:rPr>
        <w:t>Named SME signature</w:t>
      </w:r>
      <w:r>
        <w:t xml:space="preserve"> on compliance questionnaires and methodology publications, with product-lead countersignature on anything contractual.</w:t>
      </w:r>
    </w:p>
    <w:p>
      <w:pPr>
        <w:pStyle w:val="Heading2"/>
      </w:pPr>
      <w:r>
        <w:t>6. Required qualifications and experience</w:t>
      </w:r>
    </w:p>
    <w:p>
      <w:pPr>
        <w:pStyle w:val="ListBullet"/>
      </w:pPr>
      <w:r>
        <w:rPr>
          <w:b/>
        </w:rPr>
        <w:t>Experience:</w:t>
      </w:r>
      <w:r>
        <w:t xml:space="preserve"> 4–8 years in AML/CFT, financial-crime compliance or financial-crime investigations, of which at least 2 years hands-on with blockchain/digital-asset crime — typologies, on-chain tracing, exchange risk monitoring, Travel Rule operations.</w:t>
      </w:r>
    </w:p>
    <w:p>
      <w:pPr>
        <w:pStyle w:val="ListBullet"/>
      </w:pPr>
      <w:r>
        <w:rPr>
          <w:b/>
        </w:rPr>
        <w:t>Perspective:</w:t>
      </w:r>
      <w:r>
        <w:t xml:space="preserve"> acquired on the buy side or the enforcement side of this problem — VASP compliance function, bank AML/CFT or transaction-monitoring unit, FIU analyst, law-enforcement financial-crime analyst, or forensic/consultancy crypto investigations practice. Vendor-side pre-sales alone does not satisfy this requirement.</w:t>
      </w:r>
    </w:p>
    <w:p>
      <w:pPr>
        <w:pStyle w:val="ListBullet"/>
      </w:pPr>
      <w:r>
        <w:rPr>
          <w:b/>
        </w:rPr>
        <w:t>Frameworks:</w:t>
      </w:r>
      <w:r>
        <w:t xml:space="preserve"> working fluency in FATF standards as applied to virtual assets (Recommendation 15, Travel Rule/IVMS101), </w:t>
      </w:r>
      <w:r>
        <w:rPr>
          <w:b/>
        </w:rPr>
        <w:t>plus</w:t>
      </w:r>
      <w:r>
        <w:t xml:space="preserve"> demonstrated working knowledge of at least one of:</w:t>
      </w:r>
    </w:p>
    <w:p>
      <w:pPr>
        <w:pStyle w:val="ListBullet"/>
      </w:pPr>
      <w:r>
        <w:t>Malaysian AMLA 2001, BNM AML/CFT policy documents, Securities Commission digital-asset guidelines;</w:t>
      </w:r>
    </w:p>
    <w:p>
      <w:pPr>
        <w:pStyle w:val="ListBullet"/>
      </w:pPr>
      <w:r>
        <w:t>UAE AML/CFT federal framework plus VARA Rulebook or SCA rulebook;</w:t>
      </w:r>
    </w:p>
    <w:p>
      <w:pPr>
        <w:pStyle w:val="ListBullet"/>
      </w:pPr>
      <w:r>
        <w:t>Turkish Law No. 7518 and MASAK secondary regulation;</w:t>
      </w:r>
    </w:p>
    <w:p>
      <w:pPr>
        <w:pStyle w:val="ListBullet"/>
      </w:pPr>
      <w:r>
        <w:t>Swiss GATA/AMLO and SRO (VQF-class) scheme practice;</w:t>
      </w:r>
    </w:p>
    <w:p>
      <w:pPr>
        <w:pStyle w:val="ListBullet"/>
      </w:pPr>
      <w:r>
        <w:t>Egyptian Law No. 162/2023 and FRA licensing regulations.</w:t>
      </w:r>
    </w:p>
    <w:p>
      <w:pPr>
        <w:pStyle w:val="ListBullet"/>
      </w:pPr>
      <w:r>
        <w:rPr>
          <w:b/>
        </w:rPr>
        <w:t>Certification:</w:t>
      </w:r>
      <w:r>
        <w:t xml:space="preserve"> CAMS (active, or committed within 12 months of joining with employer-supported study). CFCS, ICA, CICAM or equivalent is an advantage.</w:t>
      </w:r>
    </w:p>
    <w:p>
      <w:pPr>
        <w:pStyle w:val="ListBullet"/>
      </w:pPr>
      <w:r>
        <w:rPr>
          <w:b/>
        </w:rPr>
        <w:t>Writing:</w:t>
      </w:r>
      <w:r>
        <w:t xml:space="preserve"> regulatory-grade English prose — the role submits public consultation responses and publishes methodology; a writing sample is required at shortlist.</w:t>
      </w:r>
    </w:p>
    <w:p>
      <w:pPr>
        <w:pStyle w:val="ListBullet"/>
      </w:pPr>
      <w:r>
        <w:rPr>
          <w:b/>
        </w:rPr>
        <w:t>Technical practice:</w:t>
      </w:r>
      <w:r>
        <w:t xml:space="preserve"> able to follow USDT-on-TRON through peel chains, peel-and-return patterns, mixer entry and bridge hops using public explorers and clustering tooling without assistance. The role does not write production code, but must never need tracing done for it.</w:t>
      </w:r>
    </w:p>
    <w:p>
      <w:pPr>
        <w:pStyle w:val="ListBullet"/>
      </w:pPr>
      <w:r>
        <w:rPr>
          <w:b/>
        </w:rPr>
        <w:t>Judgment:</w:t>
      </w:r>
      <w:r>
        <w:t xml:space="preserve"> demonstrates understanding of why a Swiss FIU, a Malaysian bank examiner and a Dubai regulator decline different things — and what "proportionate supervision" concretely means to each.</w:t>
      </w:r>
    </w:p>
    <w:p>
      <w:pPr>
        <w:pStyle w:val="ListBullet"/>
      </w:pPr>
      <w:r>
        <w:rPr>
          <w:b/>
        </w:rPr>
        <w:t>Professional conduct:</w:t>
      </w:r>
      <w:r>
        <w:t xml:space="preserve"> comfortable working with law-enforcement-grade material under confidentiality obligations; handles classification, need-to-know and evidence chain-of-custody as habits, not policies.</w:t>
      </w:r>
    </w:p>
    <w:p>
      <w:pPr>
        <w:pStyle w:val="Heading2"/>
      </w:pPr>
      <w:r>
        <w:t>7. Preferred qualifications</w:t>
      </w:r>
    </w:p>
    <w:p>
      <w:pPr>
        <w:pStyle w:val="ListBullet"/>
      </w:pPr>
      <w:r>
        <w:t>Prior ownership of a RegTech pilot, proof-of-concept or design-partner programme, including contracting.</w:t>
      </w:r>
    </w:p>
    <w:p>
      <w:pPr>
        <w:pStyle w:val="ListBullet"/>
      </w:pPr>
      <w:r>
        <w:t>Published writing on AML/CFT or digital-asset policy; expert-witness or regulatory-consultation experience.</w:t>
      </w:r>
    </w:p>
    <w:p>
      <w:pPr>
        <w:pStyle w:val="ListBullet"/>
      </w:pPr>
      <w:r>
        <w:t>Direct experience operating incumbent tracing platforms (Chainalysis Reactance/KRYOS, TRM Labs, Elliptic) — the role will help compete against them honestly, including on export/import compatibility.</w:t>
      </w:r>
    </w:p>
    <w:p>
      <w:pPr>
        <w:pStyle w:val="ListBullet"/>
      </w:pPr>
      <w:r>
        <w:t>Regional network relevant to the roster: Malaysian regulatory circles, GCC compliance consultancies and Big-4 forensic arms, SEA VASP compliance desks, Turkish or Egyptian licensing consultants.</w:t>
      </w:r>
    </w:p>
    <w:p>
      <w:pPr>
        <w:pStyle w:val="ListBullet"/>
      </w:pPr>
      <w:r>
        <w:t>E-KYC and fraud-assurance awareness: document authentication, deepfake document detection, identity Assurance Levels — the product's identity console falls within this role's advisory perimeter.</w:t>
      </w:r>
    </w:p>
    <w:p>
      <w:pPr>
        <w:pStyle w:val="ListBullet"/>
      </w:pPr>
      <w:r>
        <w:t>Tokenisation / RWA compliance awareness (the UAE tokenisation cohort is a near-empty market and an early roadmap target).</w:t>
      </w:r>
    </w:p>
    <w:p>
      <w:pPr>
        <w:pStyle w:val="ListBullet"/>
      </w:pPr>
      <w:r>
        <w:t>Languages: English business-fluent or native (mandatory, written); Malay (strong advantage); Arabic, Turkish, Vietnamese or Russian are genuine differentiators.</w:t>
      </w:r>
    </w:p>
    <w:p>
      <w:pPr>
        <w:pStyle w:val="Heading2"/>
      </w:pPr>
      <w:r>
        <w:t>8. Key performance indicators</w:t>
      </w:r>
    </w:p>
    <w:p>
      <w:r>
        <w:rPr>
          <w:i/>
        </w:rPr>
        <w:t>Assessed at 90 days and at 12 months. Calibrated to the program's published kill/continue metrics.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Horizon</w:t>
            </w:r>
          </w:p>
        </w:tc>
        <w:tc>
          <w:tcPr>
            <w:tcW w:type="dxa" w:w="2880"/>
          </w:tcPr>
          <w:p>
            <w:r>
              <w:rPr>
                <w:b/>
              </w:rPr>
              <w:t>Indicator</w:t>
            </w:r>
          </w:p>
        </w:tc>
        <w:tc>
          <w:tcPr>
            <w:tcW w:type="dxa" w:w="2880"/>
          </w:tcPr>
          <w:p>
            <w:r>
              <w:rPr>
                <w:b/>
              </w:rPr>
              <w:t>Target</w:t>
            </w:r>
          </w:p>
        </w:tc>
      </w:tr>
      <w:tr>
        <w:tc>
          <w:tcPr>
            <w:tcW w:type="dxa" w:w="2880"/>
          </w:tcPr>
          <w:p>
            <w:r>
              <w:rPr>
                <w:sz w:val="19"/>
              </w:rPr>
              <w:t>90 days</w:t>
            </w:r>
          </w:p>
        </w:tc>
        <w:tc>
          <w:tcPr>
            <w:tcW w:type="dxa" w:w="2880"/>
          </w:tcPr>
          <w:p>
            <w:r>
              <w:rPr>
                <w:sz w:val="19"/>
              </w:rPr>
              <w:t>Pilot playbook: agreement suite + data-rights annex + compliance matrix complete and in use</w:t>
            </w:r>
          </w:p>
        </w:tc>
        <w:tc>
          <w:tcPr>
            <w:tcW w:type="dxa" w:w="2880"/>
          </w:tcPr>
          <w:p>
            <w:r>
              <w:rPr>
                <w:sz w:val="19"/>
              </w:rPr>
              <w:t>100% of signed pilots on template</w:t>
            </w:r>
          </w:p>
        </w:tc>
      </w:tr>
      <w:tr>
        <w:tc>
          <w:tcPr>
            <w:tcW w:type="dxa" w:w="2880"/>
          </w:tcPr>
          <w:p>
            <w:r>
              <w:rPr>
                <w:sz w:val="19"/>
              </w:rPr>
              <w:t>90 days</w:t>
            </w:r>
          </w:p>
        </w:tc>
        <w:tc>
          <w:tcPr>
            <w:tcW w:type="dxa" w:w="2880"/>
          </w:tcPr>
          <w:p>
            <w:r>
              <w:rPr>
                <w:sz w:val="19"/>
              </w:rPr>
              <w:t>Jurisdictional legal map for the 15 seed-market targets</w:t>
            </w:r>
          </w:p>
        </w:tc>
        <w:tc>
          <w:tcPr>
            <w:tcW w:type="dxa" w:w="2880"/>
          </w:tcPr>
          <w:p>
            <w:r>
              <w:rPr>
                <w:sz w:val="19"/>
              </w:rPr>
              <w:t>Complete; blockers escalated in writing</w:t>
            </w:r>
          </w:p>
        </w:tc>
      </w:tr>
      <w:tr>
        <w:tc>
          <w:tcPr>
            <w:tcW w:type="dxa" w:w="2880"/>
          </w:tcPr>
          <w:p>
            <w:r>
              <w:rPr>
                <w:sz w:val="19"/>
              </w:rPr>
              <w:t>90 days</w:t>
            </w:r>
          </w:p>
        </w:tc>
        <w:tc>
          <w:tcPr>
            <w:tcW w:type="dxa" w:w="2880"/>
          </w:tcPr>
          <w:p>
            <w:r>
              <w:rPr>
                <w:sz w:val="19"/>
              </w:rPr>
              <w:t>Sanctions/watchlist labelling pipeline operational, sourced and versioned</w:t>
            </w:r>
          </w:p>
        </w:tc>
        <w:tc>
          <w:tcPr>
            <w:tcW w:type="dxa" w:w="2880"/>
          </w:tcPr>
          <w:p>
            <w:r>
              <w:rPr>
                <w:sz w:val="19"/>
              </w:rPr>
              <w:t>Weekly refresh; &lt;48h from list publication</w:t>
            </w:r>
          </w:p>
        </w:tc>
      </w:tr>
      <w:tr>
        <w:tc>
          <w:tcPr>
            <w:tcW w:type="dxa" w:w="2880"/>
          </w:tcPr>
          <w:p>
            <w:r>
              <w:rPr>
                <w:sz w:val="19"/>
              </w:rPr>
              <w:t>90 days</w:t>
            </w:r>
          </w:p>
        </w:tc>
        <w:tc>
          <w:tcPr>
            <w:tcW w:type="dxa" w:w="2880"/>
          </w:tcPr>
          <w:p>
            <w:r>
              <w:rPr>
                <w:sz w:val="19"/>
              </w:rPr>
              <w:t>First court-grade report flavour (MY) accepted by a design partner for internal use</w:t>
            </w:r>
          </w:p>
        </w:tc>
        <w:tc>
          <w:tcPr>
            <w:tcW w:type="dxa" w:w="2880"/>
          </w:tcPr>
          <w:p>
            <w:r>
              <w:rPr>
                <w:sz w:val="19"/>
              </w:rPr>
              <w:t>≥1 accepted</w:t>
            </w:r>
          </w:p>
        </w:tc>
      </w:tr>
      <w:tr>
        <w:tc>
          <w:tcPr>
            <w:tcW w:type="dxa" w:w="2880"/>
          </w:tcPr>
          <w:p>
            <w:r>
              <w:rPr>
                <w:sz w:val="19"/>
              </w:rPr>
              <w:t>12 months</w:t>
            </w:r>
          </w:p>
        </w:tc>
        <w:tc>
          <w:tcPr>
            <w:tcW w:type="dxa" w:w="2880"/>
          </w:tcPr>
          <w:p>
            <w:r>
              <w:rPr>
                <w:sz w:val="19"/>
              </w:rPr>
              <w:t>Design partners holding active, compliant pilots</w:t>
            </w:r>
          </w:p>
        </w:tc>
        <w:tc>
          <w:tcPr>
            <w:tcW w:type="dxa" w:w="2880"/>
          </w:tcPr>
          <w:p>
            <w:r>
              <w:rPr>
                <w:sz w:val="19"/>
              </w:rPr>
              <w:t>≥8 supported; zero unresolved compliance findings</w:t>
            </w:r>
          </w:p>
        </w:tc>
      </w:tr>
      <w:tr>
        <w:tc>
          <w:tcPr>
            <w:tcW w:type="dxa" w:w="2880"/>
          </w:tcPr>
          <w:p>
            <w:r>
              <w:rPr>
                <w:sz w:val="19"/>
              </w:rPr>
              <w:t>12 months</w:t>
            </w:r>
          </w:p>
        </w:tc>
        <w:tc>
          <w:tcPr>
            <w:tcW w:type="dxa" w:w="2880"/>
          </w:tcPr>
          <w:p>
            <w:r>
              <w:rPr>
                <w:sz w:val="19"/>
              </w:rPr>
              <w:t>Label-provenance QA coverage of production corpus</w:t>
            </w:r>
          </w:p>
        </w:tc>
        <w:tc>
          <w:tcPr>
            <w:tcW w:type="dxa" w:w="2880"/>
          </w:tcPr>
          <w:p>
            <w:r>
              <w:rPr>
                <w:sz w:val="19"/>
              </w:rPr>
              <w:t>100% (no unsourced labels)</w:t>
            </w:r>
          </w:p>
        </w:tc>
      </w:tr>
      <w:tr>
        <w:tc>
          <w:tcPr>
            <w:tcW w:type="dxa" w:w="2880"/>
          </w:tcPr>
          <w:p>
            <w:r>
              <w:rPr>
                <w:sz w:val="19"/>
              </w:rPr>
              <w:t>12 months</w:t>
            </w:r>
          </w:p>
        </w:tc>
        <w:tc>
          <w:tcPr>
            <w:tcW w:type="dxa" w:w="2880"/>
          </w:tcPr>
          <w:p>
            <w:r>
              <w:rPr>
                <w:sz w:val="19"/>
              </w:rPr>
              <w:t>Precision/recall methodology published for at least one corridor</w:t>
            </w:r>
          </w:p>
        </w:tc>
        <w:tc>
          <w:tcPr>
            <w:tcW w:type="dxa" w:w="2880"/>
          </w:tcPr>
          <w:p>
            <w:r>
              <w:rPr>
                <w:sz w:val="19"/>
              </w:rPr>
              <w:t>1 corridor, externally defensible</w:t>
            </w:r>
          </w:p>
        </w:tc>
      </w:tr>
      <w:tr>
        <w:tc>
          <w:tcPr>
            <w:tcW w:type="dxa" w:w="2880"/>
          </w:tcPr>
          <w:p>
            <w:r>
              <w:rPr>
                <w:sz w:val="19"/>
              </w:rPr>
              <w:t>12 months</w:t>
            </w:r>
          </w:p>
        </w:tc>
        <w:tc>
          <w:tcPr>
            <w:tcW w:type="dxa" w:w="2880"/>
          </w:tcPr>
          <w:p>
            <w:r>
              <w:rPr>
                <w:sz w:val="19"/>
              </w:rPr>
              <w:t>RFP/DD responses delivered</w:t>
            </w:r>
          </w:p>
        </w:tc>
        <w:tc>
          <w:tcPr>
            <w:tcW w:type="dxa" w:w="2880"/>
          </w:tcPr>
          <w:p>
            <w:r>
              <w:rPr>
                <w:sz w:val="19"/>
              </w:rPr>
              <w:t>≤5 working days standard turnaround</w:t>
            </w:r>
          </w:p>
        </w:tc>
      </w:tr>
      <w:tr>
        <w:tc>
          <w:tcPr>
            <w:tcW w:type="dxa" w:w="2880"/>
          </w:tcPr>
          <w:p>
            <w:r>
              <w:rPr>
                <w:sz w:val="19"/>
              </w:rPr>
              <w:t>12 months</w:t>
            </w:r>
          </w:p>
        </w:tc>
        <w:tc>
          <w:tcPr>
            <w:tcW w:type="dxa" w:w="2880"/>
          </w:tcPr>
          <w:p>
            <w:r>
              <w:rPr>
                <w:sz w:val="19"/>
              </w:rPr>
              <w:t>Customer-named written references enabled</w:t>
            </w:r>
          </w:p>
        </w:tc>
        <w:tc>
          <w:tcPr>
            <w:tcW w:type="dxa" w:w="2880"/>
          </w:tcPr>
          <w:p>
            <w:r>
              <w:rPr>
                <w:sz w:val="19"/>
              </w:rPr>
              <w:t>≥2 (program gate: 1 government + 1 VASP)</w:t>
            </w:r>
          </w:p>
        </w:tc>
      </w:tr>
      <w:tr>
        <w:tc>
          <w:tcPr>
            <w:tcW w:type="dxa" w:w="2880"/>
          </w:tcPr>
          <w:p>
            <w:r>
              <w:rPr>
                <w:sz w:val="19"/>
              </w:rPr>
              <w:t>Ongoing</w:t>
            </w:r>
          </w:p>
        </w:tc>
        <w:tc>
          <w:tcPr>
            <w:tcW w:type="dxa" w:w="2880"/>
          </w:tcPr>
          <w:p>
            <w:r>
              <w:rPr>
                <w:sz w:val="19"/>
              </w:rPr>
              <w:t>Compliance incidents in pilot data handling</w:t>
            </w:r>
          </w:p>
        </w:tc>
        <w:tc>
          <w:tcPr>
            <w:tcW w:type="dxa" w:w="2880"/>
          </w:tcPr>
          <w:p>
            <w:r>
              <w:rPr>
                <w:sz w:val="19"/>
              </w:rPr>
              <w:t>Zero; near-miss reporting culture</w:t>
            </w:r>
          </w:p>
        </w:tc>
      </w:tr>
    </w:tbl>
    <w:p/>
    <w:p>
      <w:pPr>
        <w:pStyle w:val="Heading2"/>
      </w:pPr>
      <w:r>
        <w:t>9. First 90 days — structured objectives</w:t>
      </w:r>
    </w:p>
    <w:p>
      <w:r>
        <w:rPr>
          <w:b/>
        </w:rPr>
        <w:t>Days 1–30 — Ground.</w:t>
      </w:r>
      <w:r>
        <w:t xml:space="preserve"> Learn the product's gates and constraints (appliance deployment, Reactor/CSV import pathway, report generation, corpus versioning); study incumbent export formats; read the target roster and tiering with the product lead; inherit and critique the draft pilot terms; produce the jurisdictional legal map for the 15 seed-market targets with named blockers.</w:t>
      </w:r>
    </w:p>
    <w:p>
      <w:r>
        <w:rPr>
          <w:b/>
        </w:rPr>
        <w:t>Days 31–60 — Run.</w:t>
      </w:r>
      <w:r>
        <w:t xml:space="preserve"> Lead compliance review on the first three pilots end-to-end; stand up the sanctions/watchlist labelling pipeline v1; co-attend the first regulator or FIU engagement; draft the MY-flavoured court-grade report template from a real case.</w:t>
      </w:r>
    </w:p>
    <w:p>
      <w:r>
        <w:rPr>
          <w:b/>
        </w:rPr>
        <w:t>Days 61–90 — Publish.</w:t>
      </w:r>
      <w:r>
        <w:t xml:space="preserve"> Operationalise corpus QA acceptance criteria; draft the first public artefact (consultation response or methodology paper section) with the product lead; deliver the first pilot training workshop; present the compliance register and 90-day review to the COO and product lead with a resourcing view for the following two quarters.</w:t>
      </w:r>
    </w:p>
    <w:p>
      <w:pPr>
        <w:pStyle w:val="Heading2"/>
      </w:pPr>
      <w:r>
        <w:t>10. What we offer</w:t>
      </w:r>
    </w:p>
    <w:p>
      <w:pPr>
        <w:pStyle w:val="ListBullet"/>
      </w:pPr>
      <w:r>
        <w:t>Genuine ownership: the compliance doctrine of a sovereign blockchain-forensics product is written by this role, not inherited.</w:t>
      </w:r>
    </w:p>
    <w:p>
      <w:pPr>
        <w:pStyle w:val="ListBullet"/>
      </w:pPr>
      <w:r>
        <w:t>Exposure within year one to central banks, FIUs and national police financial-crime units across three continents.</w:t>
      </w:r>
    </w:p>
    <w:p>
      <w:pPr>
        <w:pStyle w:val="ListBullet"/>
      </w:pPr>
      <w:r>
        <w:t>Authority matched to accountability — blocking recommendations are recorded and answered, not absorbed.</w:t>
      </w:r>
    </w:p>
    <w:p>
      <w:pPr>
        <w:pStyle w:val="ListBullet"/>
      </w:pPr>
      <w:r>
        <w:t>Funded certification and professional-body participation; publication credit under the candidate's own name.</w:t>
      </w:r>
    </w:p>
    <w:p>
      <w:pPr>
        <w:pStyle w:val="ListBullet"/>
      </w:pPr>
      <w:r>
        <w:t>A small team, direct access to leadership, and a stated kill/continue culture: honest bad news is valued over managed optimism.</w:t>
      </w:r>
    </w:p>
    <w:p>
      <w:pPr>
        <w:pStyle w:val="Heading2"/>
      </w:pPr>
      <w:r>
        <w:t>11. Working conditions and values</w:t>
      </w:r>
    </w:p>
    <w:p>
      <w:pPr>
        <w:pStyle w:val="ListBullet"/>
      </w:pPr>
      <w:r>
        <w:t>Confidentiality: the role handles law-enforcement-grade casework and customer compliance data; formal NDA and classification discipline apply from day one.</w:t>
      </w:r>
    </w:p>
    <w:p>
      <w:pPr>
        <w:pStyle w:val="ListBullet"/>
      </w:pPr>
      <w:r>
        <w:t>Political sensitivity: engagements involve state institutions across jurisdictions with differing pressures; professional discretion is a condition of employment, not a preference.</w:t>
      </w:r>
    </w:p>
    <w:p>
      <w:pPr>
        <w:pStyle w:val="ListBullet"/>
      </w:pPr>
      <w:r>
        <w:t>Integrity standard: the company publishes methodology and measures its own precision. Inflated capability claims — internally or externally — are treated as a conduct matter.</w:t>
      </w:r>
    </w:p>
    <w:p>
      <w:pPr>
        <w:pStyle w:val="ListBullet"/>
      </w:pPr>
      <w:r>
        <w:t>Equal opportunity: Aras Integrasi evaluates on demonstrated competence. Malaysian citizens, permanent residents and eligible professionals are encouraged to apply.</w:t>
      </w:r>
    </w:p>
    <w:p>
      <w:pPr>
        <w:pStyle w:val="Heading2"/>
      </w:pPr>
      <w:r>
        <w:t>12. Application process</w:t>
      </w:r>
    </w:p>
    <w:p>
      <w:r>
        <w:t xml:space="preserve">Submit CV plus a one-page writing sample responding to: </w:t>
      </w:r>
      <w:r>
        <w:rPr>
          <w:i/>
        </w:rPr>
        <w:t>"What should a newly licensed Vietnamese digital-asset exchange be required to have in place on day one for transaction monitoring — and what is proportionate?"</w:t>
      </w:r>
      <w:r>
        <w:t xml:space="preserve"> Shortlisted candidates complete a live public-chain tracing exercise and a clause-negotiation conversation with the hiring panel. Applications and screening questions to </w:t>
      </w:r>
      <w:r>
        <w:rPr>
          <w:b/>
        </w:rPr>
        <w:t>[insert careers contact — confirm before posting]</w:t>
      </w:r>
      <w:r>
        <w:t>.</w:t>
      </w:r>
    </w:p>
    <w:p>
      <w:pPr>
        <w:pStyle w:val="Heading2"/>
      </w:pPr>
      <w:r>
        <w:t>Appendix A — Internal screening scorecard (strip before posting)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Weight</w:t>
            </w:r>
          </w:p>
        </w:tc>
        <w:tc>
          <w:tcPr>
            <w:tcW w:type="dxa" w:w="2880"/>
          </w:tcPr>
          <w:p>
            <w:r>
              <w:rPr>
                <w:b/>
              </w:rPr>
              <w:t>Evidence sought</w:t>
            </w:r>
          </w:p>
        </w:tc>
      </w:tr>
      <w:tr>
        <w:tc>
          <w:tcPr>
            <w:tcW w:type="dxa" w:w="2880"/>
          </w:tcPr>
          <w:p>
            <w:r>
              <w:rPr>
                <w:sz w:val="19"/>
              </w:rPr>
              <w:t>Buy-side / enforcement reality</w:t>
            </w:r>
          </w:p>
        </w:tc>
        <w:tc>
          <w:tcPr>
            <w:tcW w:type="dxa" w:w="2880"/>
          </w:tcPr>
          <w:p>
            <w:r>
              <w:rPr>
                <w:sz w:val="19"/>
              </w:rPr>
              <w:t>25%</w:t>
            </w:r>
          </w:p>
        </w:tc>
        <w:tc>
          <w:tcPr>
            <w:tcW w:type="dxa" w:w="2880"/>
          </w:tcPr>
          <w:p>
            <w:r>
              <w:rPr>
                <w:sz w:val="19"/>
              </w:rPr>
              <w:t>Has carried an actual AML decision or case under supervision, with consequences</w:t>
            </w:r>
          </w:p>
        </w:tc>
      </w:tr>
      <w:tr>
        <w:tc>
          <w:tcPr>
            <w:tcW w:type="dxa" w:w="2880"/>
          </w:tcPr>
          <w:p>
            <w:r>
              <w:rPr>
                <w:sz w:val="19"/>
              </w:rPr>
              <w:t>On-chain competence</w:t>
            </w:r>
          </w:p>
        </w:tc>
        <w:tc>
          <w:tcPr>
            <w:tcW w:type="dxa" w:w="2880"/>
          </w:tcPr>
          <w:p>
            <w:r>
              <w:rPr>
                <w:sz w:val="19"/>
              </w:rPr>
              <w:t>20%</w:t>
            </w:r>
          </w:p>
        </w:tc>
        <w:tc>
          <w:tcPr>
            <w:tcW w:type="dxa" w:w="2880"/>
          </w:tcPr>
          <w:p>
            <w:r>
              <w:rPr>
                <w:sz w:val="19"/>
              </w:rPr>
              <w:t>Live exercise: trace a funded scam cluster to an off-ramp in ≤45 minutes</w:t>
            </w:r>
          </w:p>
        </w:tc>
      </w:tr>
      <w:tr>
        <w:tc>
          <w:tcPr>
            <w:tcW w:type="dxa" w:w="2880"/>
          </w:tcPr>
          <w:p>
            <w:r>
              <w:rPr>
                <w:sz w:val="19"/>
              </w:rPr>
              <w:t>Regulatory prose</w:t>
            </w:r>
          </w:p>
        </w:tc>
        <w:tc>
          <w:tcPr>
            <w:tcW w:type="dxa" w:w="2880"/>
          </w:tcPr>
          <w:p>
            <w:r>
              <w:rPr>
                <w:sz w:val="19"/>
              </w:rPr>
              <w:t>20%</w:t>
            </w:r>
          </w:p>
        </w:tc>
        <w:tc>
          <w:tcPr>
            <w:tcW w:type="dxa" w:w="2880"/>
          </w:tcPr>
          <w:p>
            <w:r>
              <w:rPr>
                <w:sz w:val="19"/>
              </w:rPr>
              <w:t>Writing sample: structured, jurisdiction-aware, no vendor marketing voice</w:t>
            </w:r>
          </w:p>
        </w:tc>
      </w:tr>
      <w:tr>
        <w:tc>
          <w:tcPr>
            <w:tcW w:type="dxa" w:w="2880"/>
          </w:tcPr>
          <w:p>
            <w:r>
              <w:rPr>
                <w:sz w:val="19"/>
              </w:rPr>
              <w:t>Framework depth</w:t>
            </w:r>
          </w:p>
        </w:tc>
        <w:tc>
          <w:tcPr>
            <w:tcW w:type="dxa" w:w="2880"/>
          </w:tcPr>
          <w:p>
            <w:r>
              <w:rPr>
                <w:sz w:val="19"/>
              </w:rPr>
              <w:t>15%</w:t>
            </w:r>
          </w:p>
        </w:tc>
        <w:tc>
          <w:tcPr>
            <w:tcW w:type="dxa" w:w="2880"/>
          </w:tcPr>
          <w:p>
            <w:r>
              <w:rPr>
                <w:sz w:val="19"/>
              </w:rPr>
              <w:t>Explains R.15 Travel Rule implementation friction in one corridor state unprompted</w:t>
            </w:r>
          </w:p>
        </w:tc>
      </w:tr>
      <w:tr>
        <w:tc>
          <w:tcPr>
            <w:tcW w:type="dxa" w:w="2880"/>
          </w:tcPr>
          <w:p>
            <w:r>
              <w:rPr>
                <w:sz w:val="19"/>
              </w:rPr>
              <w:t>Contract instinct</w:t>
            </w:r>
          </w:p>
        </w:tc>
        <w:tc>
          <w:tcPr>
            <w:tcW w:type="dxa" w:w="2880"/>
          </w:tcPr>
          <w:p>
            <w:r>
              <w:rPr>
                <w:sz w:val="19"/>
              </w:rPr>
              <w:t>10%</w:t>
            </w:r>
          </w:p>
        </w:tc>
        <w:tc>
          <w:tcPr>
            <w:tcW w:type="dxa" w:w="2880"/>
          </w:tcPr>
          <w:p>
            <w:r>
              <w:rPr>
                <w:sz w:val="19"/>
              </w:rPr>
              <w:t>Negotiation conversation: defends data-rights clause, concedes cleanly on audit rights</w:t>
            </w:r>
          </w:p>
        </w:tc>
      </w:tr>
      <w:tr>
        <w:tc>
          <w:tcPr>
            <w:tcW w:type="dxa" w:w="2880"/>
          </w:tcPr>
          <w:p>
            <w:r>
              <w:rPr>
                <w:sz w:val="19"/>
              </w:rPr>
              <w:t>Culture fit</w:t>
            </w:r>
          </w:p>
        </w:tc>
        <w:tc>
          <w:tcPr>
            <w:tcW w:type="dxa" w:w="2880"/>
          </w:tcPr>
          <w:p>
            <w:r>
              <w:rPr>
                <w:sz w:val="19"/>
              </w:rPr>
              <w:t>10%</w:t>
            </w:r>
          </w:p>
        </w:tc>
        <w:tc>
          <w:tcPr>
            <w:tcW w:type="dxa" w:w="2880"/>
          </w:tcPr>
          <w:p>
            <w:r>
              <w:rPr>
                <w:sz w:val="19"/>
              </w:rPr>
              <w:t>Publishes uncertainty; distinguishes what is known from what is claimed</w:t>
            </w:r>
          </w:p>
        </w:tc>
      </w:tr>
    </w:tbl>
    <w:p/>
    <w:p>
      <w:r>
        <w:rPr>
          <w:b/>
        </w:rPr>
        <w:t>Red flags:</w:t>
      </w:r>
      <w:r>
        <w:t xml:space="preserve"> only seat-based incumbent workflows and insists corpus size beats deployment model — that is the exact objection the product's wedge exists to break; or treats pilots as sales decoration rather than regulated evidence work.</w:t>
      </w:r>
    </w:p>
    <w:p>
      <w:pPr>
        <w:pStyle w:val="Heading2"/>
      </w:pPr>
      <w:r>
        <w:t>Appendix B — Context anchors (internal)</w:t>
      </w:r>
    </w:p>
    <w:p>
      <w:r>
        <w:t>Positioning, gates G1–G6, alpha programme terms, corpus cold-start roadmap and team-gap analysis per ChainSentry strategy document v2; regional opportunity records and design-partner action records per CognitiveOS register; target rosters (canonical 50 + MEA 72). Kill/continue program metrics referenced in Section 8 are per strategy §9.</w:t>
      </w:r>
    </w:p>
    <w:p>
      <w:r>
        <w:rPr>
          <w:i/>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