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EF386">
      <w:pPr>
        <w:jc w:val="center"/>
      </w:pPr>
      <w:r>
        <w:rPr>
          <w:b/>
          <w:color w:val="C00000"/>
          <w:sz w:val="40"/>
        </w:rPr>
        <w:t xml:space="preserve">AI 新闻报告</w:t>
      </w:r>
    </w:p>
    <w:p w14:paraId="66813767">
      <w:pPr>
        <w:jc w:val="center"/>
      </w:pPr>
      <w:r>
        <w:rPr>
          <w:b/>
          <w:sz w:val="28"/>
        </w:rPr>
        <w:t xml:space="preserve"/>
      </w:r>
    </w:p>
    <w:p w14:paraId="220CF22B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92A70F">
        <w:tc>
          <w:tcPr>
            <w:tcW w:w="4320" w:type="dxa"/>
          </w:tcPr>
          <w:p w14:paraId="7BD61EBE">
            <w:r>
              <w:t xml:space="preserve"/>
            </w:r>
          </w:p>
        </w:tc>
        <w:tc>
          <w:tcPr>
            <w:tcW w:w="4320" w:type="dxa"/>
          </w:tcPr>
          <w:p w14:paraId="700A5B27">
            <w:r>
              <w:t xml:space="preserve"/>
            </w:r>
          </w:p>
        </w:tc>
      </w:tr>
    </w:tbl>
    <w:p w14:paraId="13DAF82A"/>
    <w:p w14:paraId="4C1FA7BC">
      <w:pPr>
        <w:jc w:val="center"/>
        <w:rPr>
          <w:rFonts w:hint="eastAsia" w:eastAsia="宋体"/>
          <w:lang w:val="en-US" w:eastAsia="zh-CN"/>
        </w:rPr>
      </w:pPr>
      <w:r>
        <w:rPr>
          <w:b/>
          <w:sz w:val="28"/>
        </w:rPr>
        <w:t>本期核心要</w:t>
      </w:r>
      <w:r>
        <w:rPr>
          <w:rFonts w:hint="eastAsia" w:eastAsia="宋体"/>
          <w:b/>
          <w:sz w:val="28"/>
          <w:lang w:val="en-US" w:eastAsia="zh-CN"/>
        </w:rPr>
        <w:t>闻</w:t>
      </w:r>
      <w:bookmarkStart w:id="0" w:name="_GoBack"/>
      <w:bookmarkEnd w:id="0"/>
    </w:p>
    <w:p w14:paraId="4D729C41">
      <w:r>
        <w:t xml:space="preserve">期核心要闻</w:t>
        <w:br/>
        <w:t xml:space="preserve">⚫ 技术前沿：Dyna Robotics发布DYNA-1具身智能模型，实现机械臂自主运行24小时以上；香港大学团队发布“AI-Researcher”系统，实现科学研究端到端自动化；Google DeepMind推出RoboBallet，实现多机器人协同编舞。</w:t>
        <w:br/>
        <w:t xml:space="preserve">⚫ 产业动态：Dyna Robotics获英伟达等1.2亿美元A轮融资；Figure AI获超10亿美元C轮融资，加速人形机器人发展；xAI发布Grok 4 Fast模型，宣称以更低成本达到Gemini 2.5 Pro同等智能。</w:t>
        <w:br/>
        <w:t xml:space="preserve">⚫ 政策法规：美国H-1B签证政策变动引发AI人才流失担忧；AI安全与伦理讨论持续升温，多家公司推出“守护模型”应对风险。</w:t>
        <w:br/>
        <w:t xml:space="preserve">⚫ 应用实例：AI代理与机器人应用拓展至烹饪、货物运输；奥迪E5 Sportback、蔚来ES8深度整合中国AI技术；钉钉AI表格助理正式上线，用自然语言即可生成表格应用。</w:t>
      </w:r>
    </w:p>
    <w:p w14:paraId="437C16B1">
      <w:r>
        <w:t xml:space="preserve">详细内容</w:t>
        <w:br/>
        <w:t xml:space="preserve">一、技术前沿</w:t>
        <w:br/>
        <w:t xml:space="preserve">1. 具身智能模型取得突破</w:t>
        <w:br/>
        <w:t xml:space="preserve">    - Dyna Robotics发布DYNA-1具身智能模型，实现机械臂自主运行24小时以上，成功折叠餐巾900余次，成功率99.4%。</w:t>
        <w:br/>
        <w:t xml:space="preserve">    - 智元机器人开源全球首个通用具身智能模型GO-1，采用ViLLA架构，提升机器人对人类意图的理解和动作执行精度。</w:t>
        <w:br/>
        <w:t xml:space="preserve">2. 多模态与全模态AI模型发展</w:t>
        <w:br/>
        <w:t xml:space="preserve">    - 阿里云发布全球首个全模态AI模型Qwen3-Omni，支持文本、图像、音频和视频统一处理，并已开源。</w:t>
        <w:br/>
        <w:t xml:space="preserve">    - 百度推出Qianfan-VL视觉理解模型，提供3B、8B和70B三种尺寸，在OCR和文档理解方面表现优异。</w:t>
        <w:br/>
        <w:t xml:space="preserve">3. AI系统架构与优化技术</w:t>
        <w:br/>
        <w:t xml:space="preserve">    - OpenAI内部工程师“Bob”专注于CUDA内核优化，其编写的注意力内核每天在数十万张GPU上执行万亿次。</w:t>
        <w:br/>
        <w:t xml:space="preserve">    - 香港大学发布“AI-Researcher”系统，实现科学研究从文献综述到论文撰写的端到端自动化。</w:t>
        <w:br/>
        <w:t xml:space="preserve"/>
        <w:br/>
        <w:t xml:space="preserve">二、产业动态</w:t>
        <w:br/>
        <w:t xml:space="preserve">1. 巨头企业战略布局与产品发布</w:t>
        <w:br/>
        <w:t xml:space="preserve">    - 华为发布鸿蒙操作系统5，展示AI全场景能力，并启动“天工计划”，投入10亿资金扶持鸿蒙AI生态。</w:t>
        <w:br/>
        <w:t xml:space="preserve">    - 华为云宣布CloudMatrix超节点规格从384卡升级至8192卡，其Tokens服务AI推理性能最高可达英伟达H20的3-4倍。</w:t>
        <w:br/>
        <w:t xml:space="preserve">    - 微软在苏黎世设立新团队，专注于开发下一代多模态基础模型和AI代理。</w:t>
        <w:br/>
        <w:t xml:space="preserve">2. 融资与商业合作</w:t>
        <w:br/>
        <w:t xml:space="preserve">    - Dyna Robotics完成1.2亿美元A轮融资，英伟达参投，投后估值6亿美元。</w:t>
        <w:br/>
        <w:t xml:space="preserve">    - Figure AI完成超过10亿美元C轮融资，用于加速人形机器人AI与制造规模化。</w:t>
        <w:br/>
        <w:t xml:space="preserve">    - 谷歌与PayPal达成战略合作，推出并开源智能体支付协议AP2。</w:t>
        <w:br/>
        <w:t xml:space="preserve">3. 机器人技术应用拓展</w:t>
        <w:br/>
        <w:t xml:space="preserve">    - 宇树科技Unitree G1人形机器人展示新技能，包括舞蹈、武术和连续空翻，新增“反重力”模式。</w:t>
        <w:br/>
        <w:t xml:space="preserve">    - AI代理与机器人应用拓展至烹饪、货物运输等领域，G1T4-M1N1自动货物运输伴侣机器人等亮相。</w:t>
        <w:br/>
        <w:t xml:space="preserve"/>
        <w:br/>
        <w:t xml:space="preserve">三、政策法规</w:t>
        <w:br/>
        <w:t xml:space="preserve">1. 人才政策与影响</w:t>
        <w:br/>
        <w:t xml:space="preserve">    - 美国H-1B签证政策变动，新增10万美元签证费，引发科技界对AI人才流失和创新受阻的担忧。</w:t>
        <w:br/>
        <w:t xml:space="preserve">2. AI安全与伦理规范</w:t>
        <w:br/>
        <w:t xml:space="preserve">    - Meta、Google、IBM、OpenAI和NVIDIA等公司推出多款“守护模型”（如Llama Guard 4、ShieldGemma 2），加强AI系统安全防护。</w:t>
        <w:br/>
        <w:t xml:space="preserve">    - ChatGPT“深度研究”模式曾存在“ShadowLeak”漏洞，可窃取用户敏感数据，OpenAI已于8月修复。</w:t>
        <w:br/>
        <w:t xml:space="preserve"/>
        <w:br/>
        <w:t xml:space="preserve">四、应用实例</w:t>
        <w:br/>
        <w:t xml:space="preserve">1. 工业与服务业</w:t>
        <w:br/>
        <w:t xml:space="preserve">    - DYNA-1模型在餐厅、健身中心等场景实现落地，通过数据飞轮实现泛化和规模化应用。</w:t>
        <w:br/>
        <w:t xml:space="preserve">    - Google DeepMind推出RoboBallet系统，可精确编排多达8个机器人手臂的协同动作，避免碰撞，效率提高约25%。</w:t>
        <w:br/>
        <w:t xml:space="preserve">2. 汽车行业</w:t>
        <w:br/>
        <w:t xml:space="preserve">    - 奥迪E5 Sportback电动车深度融合中国AI技术，采用Momenta的R6飞轮大模型辅助驾驶系统。</w:t>
        <w:br/>
        <w:t xml:space="preserve">    - 蔚来全新ES8搭载自研NWM世界模型和第三代NOMI Mate AI助手，无需高精地图即可实现地下停车场自主漫游。</w:t>
        <w:br/>
        <w:t xml:space="preserve">3. 软件开发与工具</w:t>
        <w:br/>
        <w:t xml:space="preserve">    - Cognition公司发布Devin编码AI代理，可在隔离云环境中自主规划、执行任务并提交拉取请求。</w:t>
        <w:br/>
        <w:t xml:space="preserve">    - 钉钉上线AI表格助理，用户可用自然语言描述需求，AI自动生成表格及应用。</w:t>
        <w:br/>
        <w:t xml:space="preserve">4. 内容创作与娱乐</w:t>
        <w:br/>
        <w:t xml:space="preserve">    - 阿里巴巴发布WanAnimate 2.2-14B模型，提升角色动画与替换精度，支持720p分辨率下生成121帧动画。</w:t>
        <w:br/>
        <w:t xml:space="preserve">    - 斯坦福大学推出Paper2Agent工具，将研究论文转化为交互式AI助手，用户可与论文进行对话。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DD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驰   聘   纵   横</cp:lastModifiedBy>
  <dcterms:modified xsi:type="dcterms:W3CDTF">2025-09-16T12:30:33Z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0E6C96BF8E2781C2E9E7C868662DBAD3_42</vt:lpwstr>
  </property>
</Properties>
</file>