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e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0EF386">
      <w:pPr>
        <w:jc w:val="center"/>
      </w:pPr>
      <w:r>
        <w:rPr>
          <w:b/>
          <w:color w:val="C00000"/>
          <w:sz w:val="40"/>
        </w:rPr>
        <w:t xml:space="preserve">AI 新闻报告</w:t>
      </w:r>
    </w:p>
    <w:p w14:paraId="66813767">
      <w:pPr>
        <w:jc w:val="center"/>
      </w:pPr>
      <w:r>
        <w:rPr>
          <w:b/>
          <w:sz w:val="28"/>
        </w:rPr>
        <w:t xml:space="preserve"/>
      </w:r>
    </w:p>
    <w:p w14:paraId="220CF22B"/>
    <w:tbl>
      <w:tblPr>
        <w:tblStyle w:val="3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7C92A70F">
        <w:tc>
          <w:tcPr>
            <w:tcW w:w="4320" w:type="dxa"/>
          </w:tcPr>
          <w:p w14:paraId="7BD61EBE">
            <w:r>
              <w:t xml:space="preserve"/>
            </w:r>
          </w:p>
        </w:tc>
        <w:tc>
          <w:tcPr>
            <w:tcW w:w="4320" w:type="dxa"/>
          </w:tcPr>
          <w:p w14:paraId="700A5B27">
            <w:r>
              <w:t xml:space="preserve"/>
            </w:r>
          </w:p>
        </w:tc>
      </w:tr>
    </w:tbl>
    <w:p w14:paraId="13DAF82A"/>
    <w:p w14:paraId="4C1FA7BC">
      <w:pPr>
        <w:jc w:val="center"/>
        <w:rPr>
          <w:rFonts w:hint="eastAsia" w:eastAsia="宋体"/>
          <w:lang w:val="en-US" w:eastAsia="zh-CN"/>
        </w:rPr>
      </w:pPr>
      <w:r>
        <w:rPr>
          <w:b/>
          <w:sz w:val="28"/>
        </w:rPr>
        <w:t>本期核心要</w:t>
      </w:r>
      <w:r>
        <w:rPr>
          <w:rFonts w:hint="eastAsia" w:eastAsia="宋体"/>
          <w:b/>
          <w:sz w:val="28"/>
          <w:lang w:val="en-US" w:eastAsia="zh-CN"/>
        </w:rPr>
        <w:t>闻</w:t>
      </w:r>
      <w:bookmarkStart w:id="0" w:name="_GoBack"/>
      <w:bookmarkEnd w:id="0"/>
    </w:p>
    <w:p w14:paraId="4D729C41">
      <w:r>
        <w:t xml:space="preserve">期核心要闻</w:t>
        <w:br/>
        <w:t xml:space="preserve">⚫ 技术前沿：Dyna Robotics发布DYNA-1具身智能模型，实现机械臂自主运行24小时以上；香港大学团队发布“AI-Researcher”系统，实现科学研究全面自动化；阿里云发布全球首个全模态AI模型Qwen3-Omni，支持多模态统一处理。</w:t>
        <w:br/>
        <w:t xml:space="preserve">⚫ 产业动态：Dyna Robotics获英伟达等1.2亿美元A轮融资；Figure AI获超10亿美元C轮融资，加速人形机器人AI与制造；xAI发布Grok 4 Fast模型，宣称以更低成本达到Gemini 2.5 Pro同等智能水平。</w:t>
        <w:br/>
        <w:t xml:space="preserve">⚫ 政策法规：美国H-1B签证政策变动引发AI人才流失担忧；谷歌推出AP2协议并与PayPal合作，旨在规范AI代理支付的安全性与合法性。</w:t>
        <w:br/>
        <w:t xml:space="preserve">⚫ 应用实例：AI代理与机器人应用拓展至烹饪、货物运输及多机器人协同编舞（Google DeepMind RoboBallet）；奥迪E5 Sportback、蔚来ES8等车型深度整合中国AI技术；钉钉正式上线AI表格助理，提升办公效率。</w:t>
      </w:r>
    </w:p>
    <w:p w14:paraId="437C16B1">
      <w:r>
        <w:t xml:space="preserve">详细内容</w:t>
        <w:br/>
        <w:t xml:space="preserve">一、技术前沿</w:t>
        <w:br/>
        <w:t xml:space="preserve">1. 具身智能模型取得新突破</w:t>
        <w:br/>
        <w:t xml:space="preserve">    - Dyna Robotics发布DYNA-1具身智能模型，实现机械臂自主运行24小时以上，在餐厅等场景成功落地。</w:t>
        <w:br/>
        <w:t xml:space="preserve">    - 智元机器人开源全球首个通用具身智能模型GO-1，采用ViLLA架构提升对人类意图的理解和动作执行精度。</w:t>
        <w:br/>
        <w:t xml:space="preserve">2. 多模态与通用模型持续演进</w:t>
        <w:br/>
        <w:t xml:space="preserve">    - 阿里云发布全球首个全模态AI模型Qwen3-Omni，支持文本、图像、音频和视频的统一处理与实时流式输出。</w:t>
        <w:br/>
        <w:t xml:space="preserve">    - 百度推出Qianfan-VL视觉理解模型，提供3B、8B、70B三种尺寸，在OCR和文档理解方面表现优异。</w:t>
        <w:br/>
        <w:t xml:space="preserve">3. AI系统自主性与协作能力提升</w:t>
        <w:br/>
        <w:t xml:space="preserve">    - 香港大学团队发布“AI-Researcher”系统，实现从文献综述到论文撰写的科学研究全流程自动化。</w:t>
        <w:br/>
        <w:t xml:space="preserve">    - Google DeepMind推出RoboBallet系统，可精确编排多达8个机器人手臂的协同动作，效率比传统方法提高约25%。</w:t>
        <w:br/>
        <w:t xml:space="preserve"/>
        <w:br/>
        <w:t xml:space="preserve">二、产业动态</w:t>
        <w:br/>
        <w:t xml:space="preserve">1. 巨头加大AI算力与生态投入</w:t>
        <w:br/>
        <w:t xml:space="preserve">    - 华为云升级CloudMatrix超节点至8192卡，其Tokens服务AI推理性能称可达英伟达H20的3-4倍。</w:t>
        <w:br/>
        <w:t xml:space="preserve">    - 华为启动“天工计划”，投入10亿资金扶持鸿蒙AI生态创新。</w:t>
        <w:br/>
        <w:t xml:space="preserve">2. 融资与商业化进程活跃</w:t>
        <w:br/>
        <w:t xml:space="preserve">    - Dyna Robotics完成1.2亿美元A轮融资，投后估值达6亿美元。</w:t>
        <w:br/>
        <w:t xml:space="preserve">    - 人形机器人公司Figure AI获得超10亿美元C轮融资，用于加速AI和机器人制造规模化。</w:t>
        <w:br/>
        <w:t xml:space="preserve">3. 汽车行业深化AI融合</w:t>
        <w:br/>
        <w:t xml:space="preserve">    - 奥迪E5 Sportback深度整合中国AI技术，采用Momenta R6飞轮大模型辅助驾驶系统。</w:t>
        <w:br/>
        <w:t xml:space="preserve">    - 蔚来ES8搭载自研NWM世界模型，无需高精地图即可实现地下停车场自主漫游。</w:t>
        <w:br/>
        <w:t xml:space="preserve"/>
        <w:br/>
        <w:t xml:space="preserve">三、政策法规</w:t>
        <w:br/>
        <w:t xml:space="preserve">1. 人才政策引发行业关注</w:t>
        <w:br/>
        <w:t xml:space="preserve">    - 美国H-1B签证政策变动，新增高额签证费，引发科技界对AI人才流失和创新受阻的担忧。</w:t>
        <w:br/>
        <w:t xml:space="preserve">2. AI安全与伦理规范受重视</w:t>
        <w:br/>
        <w:t xml:space="preserve">    - Meta、Google等公司推出多款“守护模型”（如Llama Guard 4），旨在通过内容安全等技术确保AI应用可靠性。</w:t>
        <w:br/>
        <w:t xml:space="preserve">    - ChatGPT曝出“ShadowLeak”漏洞，曾可窃取用户邮箱敏感数据，凸显AI代理系统脆弱性。</w:t>
        <w:br/>
        <w:t xml:space="preserve"/>
        <w:br/>
        <w:t xml:space="preserve">四、应用实例</w:t>
        <w:br/>
        <w:t xml:space="preserve">1. AI代理应用场景拓展</w:t>
        <w:br/>
        <w:t xml:space="preserve">    - Cognition公司推出Devin编码AI代理，能在隔离云环境中自主规划、执行任务并提交拉取请求。</w:t>
        <w:br/>
        <w:t xml:space="preserve">    - 微软Teams推出Channel Agent AI助手，可生成报告、解答问题，提升团队协作效率。</w:t>
        <w:br/>
        <w:t xml:space="preserve">2. 工具与平台优化用户体验</w:t>
        <w:br/>
        <w:t xml:space="preserve">    - 钉钉正式上线AI表格助理，用户用自然语言描述即可自动生成表格及应用。</w:t>
        <w:br/>
        <w:t xml:space="preserve">    - 阿里巴巴发布WanAnimate 2.2-14B模型，提升角色动画与替换精度，并以开源免费形式提供。</w:t>
        <w:br/>
        <w:t xml:space="preserve">3. 支付与交互创新</w:t>
        <w:br/>
        <w:t xml:space="preserve">    - 谷歌推出AP2支付协议并与PayPal合作，通过“授权令牌”机制推动AI代理在支付领域的安全应用。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Cambria">
    <w:altName w:val="苹方-简"/>
    <w:panose1 w:val="02040503050406030204"/>
    <w:charset w:val="00"/>
    <w:family w:val="auto"/>
    <w:pitch w:val="default"/>
    <w:sig w:usb0="00000000" w:usb1="00000000" w:usb2="00000000" w:usb3="00000000" w:csb0="0000019F" w:csb1="00000000"/>
  </w:font>
  <w:font w:name="ＭＳ 明朝">
    <w:altName w:val="Hiragino Sans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Hiragino San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ＭＳ ゴシック">
    <w:altName w:val="Hiragino Sans"/>
    <w:panose1 w:val="00000000000000000000"/>
    <w:charset w:val="80"/>
    <w:family w:val="modern"/>
    <w:pitch w:val="default"/>
    <w:sig w:usb0="00000000" w:usb1="00000000" w:usb2="00000010" w:usb3="00000000" w:csb0="00020000" w:csb1="00000000"/>
  </w:font>
  <w:font w:name="Courier">
    <w:altName w:val="苹方-简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Hiragino San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ＭＳ ゴシック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6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DFDD8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Office_7.5.1.8994_F1E327BC-269C-435d-A152-05C5408002CA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2013-12-24T07:15:00Z</dcterms:created>
  <dc:creator>python-docx</dc:creator>
  <dc:description>generated by python-docx</dc:description>
  <cp:lastModifiedBy>驰   聘   纵   横</cp:lastModifiedBy>
  <dcterms:modified xsi:type="dcterms:W3CDTF">2025-09-16T12:30:33Z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2052-7.5.1.8994</vt:lpwstr>
  </property>
  <property fmtid="{D5CDD505-2E9C-101B-9397-08002B2CF9AE}" pid="3" name="ICV">
    <vt:lpwstr>0E6C96BF8E2781C2E9E7C868662DBAD3_42</vt:lpwstr>
  </property>
</Properties>
</file>