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1E15AB9D" w:rsidR="00A94104" w:rsidRPr="00A94104" w:rsidRDefault="00863C49" w:rsidP="00863C49">
      <w:pPr>
        <w:pStyle w:val="Heading2"/>
      </w:pPr>
      <w:r>
        <w:t>Encoding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1466"/>
        <w:gridCol w:w="3150"/>
        <w:gridCol w:w="2430"/>
      </w:tblGrid>
      <w:tr w:rsidR="00A94104" w:rsidRPr="00A94104" w14:paraId="4871B553" w14:textId="77777777" w:rsidTr="007649D0">
        <w:tc>
          <w:tcPr>
            <w:tcW w:w="1679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466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2430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7649D0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466" w:type="dxa"/>
          </w:tcPr>
          <w:p w14:paraId="11ECF1C9" w14:textId="46FA4D5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</w:t>
            </w:r>
            <w:r w:rsidR="00F10578">
              <w:rPr>
                <w:sz w:val="20"/>
                <w:szCs w:val="20"/>
              </w:rPr>
              <w:t>-</w:t>
            </w:r>
            <w:r w:rsidRPr="00A94104">
              <w:rPr>
                <w:sz w:val="20"/>
                <w:szCs w:val="20"/>
              </w:rPr>
              <w:t>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7649D0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46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5109662D" w:rsidR="00A94104" w:rsidRPr="00A94104" w:rsidRDefault="00863C49" w:rsidP="00863C49">
      <w:pPr>
        <w:pStyle w:val="Heading2"/>
      </w:pPr>
      <w:r>
        <w:t>System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29"/>
        <w:gridCol w:w="2936"/>
        <w:gridCol w:w="2160"/>
        <w:gridCol w:w="1800"/>
      </w:tblGrid>
      <w:tr w:rsidR="007E1231" w:rsidRPr="00A94104" w14:paraId="798FBE64" w14:textId="341B17BF" w:rsidTr="007649D0">
        <w:tc>
          <w:tcPr>
            <w:tcW w:w="1829" w:type="dxa"/>
          </w:tcPr>
          <w:p w14:paraId="04BBA71E" w14:textId="77777777" w:rsidR="007E1231" w:rsidRPr="00A94104" w:rsidRDefault="007E1231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2936" w:type="dxa"/>
          </w:tcPr>
          <w:p w14:paraId="2E06E37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2160" w:type="dxa"/>
          </w:tcPr>
          <w:p w14:paraId="5950531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  <w:tc>
          <w:tcPr>
            <w:tcW w:w="1800" w:type="dxa"/>
          </w:tcPr>
          <w:p w14:paraId="0E6ABE80" w14:textId="502883C5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Traversal style</w:t>
            </w:r>
          </w:p>
        </w:tc>
      </w:tr>
      <w:tr w:rsidR="007E1231" w:rsidRPr="00A94104" w14:paraId="2113DD06" w14:textId="301AEC3F" w:rsidTr="007649D0">
        <w:tc>
          <w:tcPr>
            <w:tcW w:w="1829" w:type="dxa"/>
          </w:tcPr>
          <w:p w14:paraId="1A87EEE7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2936" w:type="dxa"/>
          </w:tcPr>
          <w:p w14:paraId="6BE4CF09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2160" w:type="dxa"/>
          </w:tcPr>
          <w:p w14:paraId="43E7722C" w14:textId="08B17F7D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 w:rsidR="00881FAE"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13E60C20" w14:textId="27A6981E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association</w:t>
            </w:r>
          </w:p>
        </w:tc>
      </w:tr>
      <w:tr w:rsidR="007E1231" w:rsidRPr="00A94104" w14:paraId="34EA20DD" w14:textId="7B6BD5ED" w:rsidTr="007649D0">
        <w:tc>
          <w:tcPr>
            <w:tcW w:w="1829" w:type="dxa"/>
          </w:tcPr>
          <w:p w14:paraId="1212FD42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936" w:type="dxa"/>
          </w:tcPr>
          <w:p w14:paraId="7D8A8ACA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2160" w:type="dxa"/>
          </w:tcPr>
          <w:p w14:paraId="46FB61F7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  <w:tc>
          <w:tcPr>
            <w:tcW w:w="1800" w:type="dxa"/>
          </w:tcPr>
          <w:p w14:paraId="72FAEF0A" w14:textId="54E0781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narrative logic</w:t>
            </w:r>
          </w:p>
        </w:tc>
      </w:tr>
      <w:tr w:rsidR="007E1231" w:rsidRPr="00A94104" w14:paraId="7C2B68E3" w14:textId="1FB13BE9" w:rsidTr="007649D0">
        <w:tc>
          <w:tcPr>
            <w:tcW w:w="1829" w:type="dxa"/>
          </w:tcPr>
          <w:p w14:paraId="14FB99DA" w14:textId="77777777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2936" w:type="dxa"/>
          </w:tcPr>
          <w:p w14:paraId="1349F253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2160" w:type="dxa"/>
          </w:tcPr>
          <w:p w14:paraId="16E2217D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  <w:tc>
          <w:tcPr>
            <w:tcW w:w="1800" w:type="dxa"/>
          </w:tcPr>
          <w:p w14:paraId="6D54150F" w14:textId="40D659C1" w:rsidR="007E1231" w:rsidRPr="00A94104" w:rsidRDefault="007E1231" w:rsidP="007E1231">
            <w:pPr>
              <w:spacing w:after="40" w:line="250" w:lineRule="auto"/>
              <w:rPr>
                <w:sz w:val="20"/>
                <w:szCs w:val="20"/>
              </w:rPr>
            </w:pPr>
            <w:r w:rsidRPr="007E1231">
              <w:rPr>
                <w:sz w:val="20"/>
                <w:szCs w:val="20"/>
              </w:rPr>
              <w:t>by natural order of attached sequence</w:t>
            </w:r>
          </w:p>
        </w:tc>
      </w:tr>
      <w:tr w:rsidR="007E1231" w:rsidRPr="00A94104" w14:paraId="017AE50C" w14:textId="4DB8E239" w:rsidTr="007649D0">
        <w:tc>
          <w:tcPr>
            <w:tcW w:w="1829" w:type="dxa"/>
          </w:tcPr>
          <w:p w14:paraId="2863BA50" w14:textId="1166517C" w:rsidR="007E1231" w:rsidRPr="00A94104" w:rsidRDefault="007E1231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936" w:type="dxa"/>
          </w:tcPr>
          <w:p w14:paraId="14EF4DA1" w14:textId="77777777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2160" w:type="dxa"/>
          </w:tcPr>
          <w:p w14:paraId="3B81E6AA" w14:textId="306C7F8B" w:rsidR="007E1231" w:rsidRPr="00A94104" w:rsidRDefault="007E1231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  <w:tc>
          <w:tcPr>
            <w:tcW w:w="1800" w:type="dxa"/>
          </w:tcPr>
          <w:p w14:paraId="48CB95A0" w14:textId="21207EBB" w:rsidR="007E1231" w:rsidRPr="00A94104" w:rsidRDefault="00B4486D" w:rsidP="007E123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association</w:t>
            </w:r>
          </w:p>
        </w:tc>
      </w:tr>
      <w:tr w:rsidR="00A9301D" w:rsidRPr="00A94104" w14:paraId="50A98ACB" w14:textId="4537EAB3" w:rsidTr="007649D0">
        <w:tc>
          <w:tcPr>
            <w:tcW w:w="1829" w:type="dxa"/>
          </w:tcPr>
          <w:p w14:paraId="62B1B64E" w14:textId="52FA7D64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36" w:type="dxa"/>
          </w:tcPr>
          <w:p w14:paraId="56ABA9F9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2160" w:type="dxa"/>
          </w:tcPr>
          <w:p w14:paraId="12A4A062" w14:textId="77777777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  <w:tc>
          <w:tcPr>
            <w:tcW w:w="1800" w:type="dxa"/>
            <w:vMerge w:val="restart"/>
            <w:vAlign w:val="center"/>
          </w:tcPr>
          <w:p w14:paraId="0D33AB20" w14:textId="0ACF25F5" w:rsidR="00A9301D" w:rsidRPr="00E21EA5" w:rsidRDefault="00A9301D" w:rsidP="001A4176">
            <w:pPr>
              <w:rPr>
                <w:sz w:val="20"/>
                <w:szCs w:val="20"/>
              </w:rPr>
            </w:pPr>
            <w:r w:rsidRPr="00E21EA5">
              <w:rPr>
                <w:sz w:val="20"/>
                <w:szCs w:val="20"/>
              </w:rPr>
              <w:t>by rule (see below)</w:t>
            </w:r>
          </w:p>
        </w:tc>
      </w:tr>
      <w:tr w:rsidR="00A9301D" w:rsidRPr="00A94104" w14:paraId="25AC0509" w14:textId="123892CA" w:rsidTr="007649D0">
        <w:tc>
          <w:tcPr>
            <w:tcW w:w="1829" w:type="dxa"/>
          </w:tcPr>
          <w:p w14:paraId="133E7A9F" w14:textId="685DA4F1" w:rsidR="00A9301D" w:rsidRPr="00A94104" w:rsidRDefault="00A930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>
              <w:rPr>
                <w:b/>
                <w:bCs/>
                <w:sz w:val="20"/>
                <w:szCs w:val="20"/>
              </w:rPr>
              <w:t xml:space="preserve">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2936" w:type="dxa"/>
          </w:tcPr>
          <w:p w14:paraId="5EF2D650" w14:textId="3BA95543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>Winter counts. Songline</w:t>
            </w:r>
            <w:r>
              <w:rPr>
                <w:sz w:val="20"/>
                <w:szCs w:val="20"/>
              </w:rPr>
              <w:t>s are encoded sacred sites connected by an index story expressed in other art forms constrained to the index story.</w:t>
            </w:r>
          </w:p>
        </w:tc>
        <w:tc>
          <w:tcPr>
            <w:tcW w:w="2160" w:type="dxa"/>
          </w:tcPr>
          <w:p w14:paraId="2514AFE1" w14:textId="48DCC5CE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  <w:tc>
          <w:tcPr>
            <w:tcW w:w="1800" w:type="dxa"/>
            <w:vMerge/>
          </w:tcPr>
          <w:p w14:paraId="1F6410A6" w14:textId="203E6A85" w:rsidR="00A9301D" w:rsidRPr="00A94104" w:rsidRDefault="00A9301D" w:rsidP="00A94104">
            <w:pPr>
              <w:spacing w:after="40" w:line="250" w:lineRule="auto"/>
              <w:rPr>
                <w:sz w:val="20"/>
                <w:szCs w:val="20"/>
              </w:rPr>
            </w:pPr>
          </w:p>
        </w:tc>
      </w:tr>
    </w:tbl>
    <w:p w14:paraId="79B53BBE" w14:textId="655EE2EF" w:rsidR="001A3A66" w:rsidRDefault="001A3A66" w:rsidP="007E1231">
      <w:pPr>
        <w:pStyle w:val="ListParagraph"/>
      </w:pPr>
    </w:p>
    <w:p w14:paraId="0434D334" w14:textId="561EA00F" w:rsidR="003127D1" w:rsidRDefault="003127D1" w:rsidP="003127D1">
      <w:pPr>
        <w:pStyle w:val="Heading2"/>
      </w:pPr>
      <w:r>
        <w:t>Common object traversal rules</w:t>
      </w:r>
    </w:p>
    <w:p w14:paraId="703BF88F" w14:textId="672F9530" w:rsidR="003127D1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6FEF407B" w14:textId="77777777" w:rsidR="003127D1" w:rsidRPr="003127D1" w:rsidRDefault="003127D1" w:rsidP="003127D1"/>
    <w:sectPr w:rsidR="003127D1" w:rsidRPr="003127D1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7649D0">
      <w:fldChar w:fldCharType="begin"/>
    </w:r>
    <w:r w:rsidR="007649D0">
      <w:instrText xml:space="preserve"> DOCPROPERTY  LastSavedTime  \* MERGEFORMAT </w:instrText>
    </w:r>
    <w:r w:rsidR="007649D0">
      <w:fldChar w:fldCharType="separate"/>
    </w:r>
    <w:r w:rsidR="001D36F7">
      <w:t>5/31/2021 3:08 PM</w:t>
    </w:r>
    <w:r w:rsidR="007649D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846F2"/>
    <w:rsid w:val="001100D6"/>
    <w:rsid w:val="001A3A66"/>
    <w:rsid w:val="001A4176"/>
    <w:rsid w:val="001D36F7"/>
    <w:rsid w:val="002912C1"/>
    <w:rsid w:val="00291C07"/>
    <w:rsid w:val="003127D1"/>
    <w:rsid w:val="00350103"/>
    <w:rsid w:val="003564AB"/>
    <w:rsid w:val="00390212"/>
    <w:rsid w:val="003A7DEF"/>
    <w:rsid w:val="004C6F0D"/>
    <w:rsid w:val="004D06A4"/>
    <w:rsid w:val="004E744D"/>
    <w:rsid w:val="00514843"/>
    <w:rsid w:val="00532AE9"/>
    <w:rsid w:val="00556C75"/>
    <w:rsid w:val="005725A7"/>
    <w:rsid w:val="00595475"/>
    <w:rsid w:val="005E0DE0"/>
    <w:rsid w:val="005F5928"/>
    <w:rsid w:val="006B2B08"/>
    <w:rsid w:val="007649D0"/>
    <w:rsid w:val="007E1231"/>
    <w:rsid w:val="00841A66"/>
    <w:rsid w:val="00863C49"/>
    <w:rsid w:val="00876ACF"/>
    <w:rsid w:val="00881FAE"/>
    <w:rsid w:val="008B6AEB"/>
    <w:rsid w:val="00936C3D"/>
    <w:rsid w:val="00955B8E"/>
    <w:rsid w:val="009602CF"/>
    <w:rsid w:val="009F0CA4"/>
    <w:rsid w:val="009F6E98"/>
    <w:rsid w:val="00A27E71"/>
    <w:rsid w:val="00A35290"/>
    <w:rsid w:val="00A9301D"/>
    <w:rsid w:val="00A94104"/>
    <w:rsid w:val="00A94BCC"/>
    <w:rsid w:val="00AF6515"/>
    <w:rsid w:val="00B4486D"/>
    <w:rsid w:val="00B56801"/>
    <w:rsid w:val="00BB59E7"/>
    <w:rsid w:val="00C96446"/>
    <w:rsid w:val="00CD57F5"/>
    <w:rsid w:val="00D1320D"/>
    <w:rsid w:val="00D3490A"/>
    <w:rsid w:val="00E21EA5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40</cp:revision>
  <dcterms:created xsi:type="dcterms:W3CDTF">2021-05-30T17:52:00Z</dcterms:created>
  <dcterms:modified xsi:type="dcterms:W3CDTF">2021-05-31T20:13:00Z</dcterms:modified>
</cp:coreProperties>
</file>