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243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33FC5D09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Traversal </w:t>
            </w:r>
            <w:r w:rsidR="005A001B">
              <w:rPr>
                <w:b/>
                <w:bCs/>
                <w:sz w:val="20"/>
                <w:szCs w:val="20"/>
              </w:rPr>
              <w:t>rule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7649D0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280FE62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171EC2B" w:rsidR="007E1231" w:rsidRPr="00A94104" w:rsidRDefault="005A001B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</w:t>
            </w:r>
            <w:r w:rsidR="00A803AD">
              <w:rPr>
                <w:sz w:val="20"/>
                <w:szCs w:val="20"/>
              </w:rPr>
              <w:t xml:space="preserve">key </w:t>
            </w:r>
            <w:r>
              <w:rPr>
                <w:sz w:val="20"/>
                <w:szCs w:val="20"/>
              </w:rPr>
              <w:t>sequence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A9301D" w:rsidRPr="00A94104" w14:paraId="50A98ACB" w14:textId="4537EAB3" w:rsidTr="007649D0">
        <w:tc>
          <w:tcPr>
            <w:tcW w:w="1829" w:type="dxa"/>
          </w:tcPr>
          <w:p w14:paraId="62B1B64E" w14:textId="52FA7D64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2160" w:type="dxa"/>
          </w:tcPr>
          <w:p w14:paraId="12A4A062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  <w:vMerge w:val="restart"/>
            <w:vAlign w:val="center"/>
          </w:tcPr>
          <w:p w14:paraId="0D33AB20" w14:textId="0ACF25F5" w:rsidR="00A9301D" w:rsidRPr="00E21EA5" w:rsidRDefault="00A9301D" w:rsidP="001A4176">
            <w:pPr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A9301D" w:rsidRPr="00A94104" w14:paraId="25AC0509" w14:textId="123892CA" w:rsidTr="007649D0">
        <w:tc>
          <w:tcPr>
            <w:tcW w:w="1829" w:type="dxa"/>
          </w:tcPr>
          <w:p w14:paraId="133E7A9F" w14:textId="7201C34C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936" w:type="dxa"/>
          </w:tcPr>
          <w:p w14:paraId="5EF2D650" w14:textId="1EE82416" w:rsidR="00A9301D" w:rsidRPr="00A94104" w:rsidRDefault="00AF5C2E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A9301D"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="00A9301D"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="00A9301D"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="00A9301D"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="00A9301D" w:rsidRPr="00A94104">
              <w:rPr>
                <w:sz w:val="20"/>
                <w:szCs w:val="20"/>
              </w:rPr>
              <w:t xml:space="preserve">. Winter counts. </w:t>
            </w:r>
            <w:r>
              <w:rPr>
                <w:sz w:val="20"/>
                <w:szCs w:val="20"/>
              </w:rPr>
              <w:t>Songlines.</w:t>
            </w:r>
            <w:r w:rsidR="006052C7">
              <w:rPr>
                <w:sz w:val="20"/>
                <w:szCs w:val="20"/>
              </w:rPr>
              <w:t xml:space="preserve"> Method of loci.</w:t>
            </w:r>
          </w:p>
        </w:tc>
        <w:tc>
          <w:tcPr>
            <w:tcW w:w="2160" w:type="dxa"/>
          </w:tcPr>
          <w:p w14:paraId="2514AFE1" w14:textId="48DCC5CE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vMerge/>
          </w:tcPr>
          <w:p w14:paraId="1F6410A6" w14:textId="203E6A85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4E28D83A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>encoded sacred sites connected by an index story expressed in other art forms constrained to the index story.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lastRenderedPageBreak/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1A73622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6052C7">
      <w:fldChar w:fldCharType="begin"/>
    </w:r>
    <w:r w:rsidR="006052C7">
      <w:instrText xml:space="preserve"> DOCPROPERTY  LastSavedTime  \* MERGEFORMAT </w:instrText>
    </w:r>
    <w:r w:rsidR="006052C7">
      <w:fldChar w:fldCharType="separate"/>
    </w:r>
    <w:r w:rsidR="001D36F7">
      <w:t>5/31/2021 3:08 PM</w:t>
    </w:r>
    <w:r w:rsidR="006052C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846F2"/>
    <w:rsid w:val="00087E93"/>
    <w:rsid w:val="001100D6"/>
    <w:rsid w:val="001A3A66"/>
    <w:rsid w:val="001A4176"/>
    <w:rsid w:val="001D36F7"/>
    <w:rsid w:val="002912C1"/>
    <w:rsid w:val="00291C07"/>
    <w:rsid w:val="003127D1"/>
    <w:rsid w:val="00350103"/>
    <w:rsid w:val="003564AB"/>
    <w:rsid w:val="00390212"/>
    <w:rsid w:val="003A7DEF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E0DE0"/>
    <w:rsid w:val="005F5928"/>
    <w:rsid w:val="006052C7"/>
    <w:rsid w:val="006B2B08"/>
    <w:rsid w:val="007649D0"/>
    <w:rsid w:val="007E1231"/>
    <w:rsid w:val="00841A66"/>
    <w:rsid w:val="00863C49"/>
    <w:rsid w:val="00876ACF"/>
    <w:rsid w:val="00881FAE"/>
    <w:rsid w:val="00890754"/>
    <w:rsid w:val="008B6AEB"/>
    <w:rsid w:val="00901344"/>
    <w:rsid w:val="00936C3D"/>
    <w:rsid w:val="00955B8E"/>
    <w:rsid w:val="009602CF"/>
    <w:rsid w:val="009F0CA4"/>
    <w:rsid w:val="009F6E98"/>
    <w:rsid w:val="00A27E71"/>
    <w:rsid w:val="00A35290"/>
    <w:rsid w:val="00A803AD"/>
    <w:rsid w:val="00A9301D"/>
    <w:rsid w:val="00A94104"/>
    <w:rsid w:val="00A94BCC"/>
    <w:rsid w:val="00A979C3"/>
    <w:rsid w:val="00AD03B6"/>
    <w:rsid w:val="00AF5C2E"/>
    <w:rsid w:val="00AF6515"/>
    <w:rsid w:val="00B4486D"/>
    <w:rsid w:val="00B56801"/>
    <w:rsid w:val="00BB59E7"/>
    <w:rsid w:val="00BF7B4C"/>
    <w:rsid w:val="00C023F7"/>
    <w:rsid w:val="00C96446"/>
    <w:rsid w:val="00CA48EC"/>
    <w:rsid w:val="00CD57F5"/>
    <w:rsid w:val="00D02006"/>
    <w:rsid w:val="00D1320D"/>
    <w:rsid w:val="00D3490A"/>
    <w:rsid w:val="00E21EA5"/>
    <w:rsid w:val="00E344ED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54</cp:revision>
  <dcterms:created xsi:type="dcterms:W3CDTF">2021-05-30T17:52:00Z</dcterms:created>
  <dcterms:modified xsi:type="dcterms:W3CDTF">2021-05-31T22:05:00Z</dcterms:modified>
</cp:coreProperties>
</file>