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376C4" w14:textId="3A6EBCB5" w:rsidR="00B64398" w:rsidRDefault="0043712D" w:rsidP="00AD0AD7">
      <w:pPr>
        <w:pStyle w:val="Heading1"/>
        <w:jc w:val="center"/>
        <w:rPr>
          <w:lang w:eastAsia="zh-CN"/>
        </w:rPr>
      </w:pPr>
      <w:bookmarkStart w:id="0" w:name="创新能力对上市公司并购业绩的影响"/>
      <w:r>
        <w:rPr>
          <w:lang w:eastAsia="zh-CN"/>
        </w:rPr>
        <w:t>创新能力对上市公司并购业绩的影响</w:t>
      </w:r>
      <w:bookmarkEnd w:id="0"/>
    </w:p>
    <w:p w14:paraId="454A3F86" w14:textId="3C7088C0" w:rsidR="0061413B" w:rsidRPr="0061413B" w:rsidRDefault="0061413B" w:rsidP="00AD0AD7">
      <w:pPr>
        <w:pStyle w:val="BodyText"/>
        <w:jc w:val="center"/>
        <w:rPr>
          <w:lang w:eastAsia="zh-CN"/>
        </w:rPr>
      </w:pPr>
      <w:r>
        <w:rPr>
          <w:rFonts w:hint="eastAsia"/>
          <w:lang w:eastAsia="zh-CN"/>
        </w:rPr>
        <w:t>朱福源</w:t>
      </w:r>
      <w:r>
        <w:rPr>
          <w:rFonts w:hint="eastAsia"/>
          <w:lang w:eastAsia="zh-CN"/>
        </w:rPr>
        <w:t xml:space="preserve"> </w:t>
      </w:r>
      <w:r>
        <w:rPr>
          <w:lang w:eastAsia="zh-CN"/>
        </w:rPr>
        <w:t>18021067</w:t>
      </w:r>
    </w:p>
    <w:p w14:paraId="4CC02CB2" w14:textId="77777777" w:rsidR="00B64398" w:rsidRPr="00B573B0" w:rsidRDefault="0043712D">
      <w:pPr>
        <w:pStyle w:val="SourceCode"/>
        <w:rPr>
          <w:sz w:val="21"/>
        </w:rPr>
      </w:pPr>
      <w:r w:rsidRPr="00B573B0">
        <w:rPr>
          <w:rStyle w:val="VerbatimChar"/>
          <w:sz w:val="20"/>
        </w:rPr>
        <w:t>@</w:t>
      </w:r>
      <w:proofErr w:type="gramStart"/>
      <w:r w:rsidRPr="00B573B0">
        <w:rPr>
          <w:rStyle w:val="VerbatimChar"/>
          <w:sz w:val="20"/>
        </w:rPr>
        <w:t>article{</w:t>
      </w:r>
      <w:proofErr w:type="gramEnd"/>
      <w:r w:rsidRPr="00B573B0">
        <w:rPr>
          <w:rStyle w:val="VerbatimChar"/>
          <w:sz w:val="20"/>
        </w:rPr>
        <w:t>ZhangXueyong2017,</w:t>
      </w:r>
      <w:r w:rsidRPr="00B573B0">
        <w:rPr>
          <w:sz w:val="21"/>
        </w:rPr>
        <w:br/>
      </w:r>
      <w:r w:rsidRPr="00B573B0">
        <w:rPr>
          <w:rStyle w:val="VerbatimChar"/>
          <w:sz w:val="20"/>
        </w:rPr>
        <w:t>author = {</w:t>
      </w:r>
      <w:proofErr w:type="spellStart"/>
      <w:r w:rsidRPr="00B573B0">
        <w:rPr>
          <w:rStyle w:val="VerbatimChar"/>
          <w:sz w:val="20"/>
        </w:rPr>
        <w:t>张学勇</w:t>
      </w:r>
      <w:proofErr w:type="spellEnd"/>
      <w:r w:rsidRPr="00B573B0">
        <w:rPr>
          <w:rStyle w:val="VerbatimChar"/>
          <w:sz w:val="20"/>
        </w:rPr>
        <w:t xml:space="preserve"> and </w:t>
      </w:r>
      <w:r w:rsidRPr="00B573B0">
        <w:rPr>
          <w:rStyle w:val="VerbatimChar"/>
          <w:sz w:val="20"/>
        </w:rPr>
        <w:t>柳依依</w:t>
      </w:r>
      <w:r w:rsidRPr="00B573B0">
        <w:rPr>
          <w:rStyle w:val="VerbatimChar"/>
          <w:sz w:val="20"/>
        </w:rPr>
        <w:t xml:space="preserve"> and </w:t>
      </w:r>
      <w:r w:rsidRPr="00B573B0">
        <w:rPr>
          <w:rStyle w:val="VerbatimChar"/>
          <w:sz w:val="20"/>
        </w:rPr>
        <w:t>罗丹</w:t>
      </w:r>
      <w:r w:rsidRPr="00B573B0">
        <w:rPr>
          <w:rStyle w:val="VerbatimChar"/>
          <w:sz w:val="20"/>
        </w:rPr>
        <w:t xml:space="preserve"> and </w:t>
      </w:r>
      <w:r w:rsidRPr="00B573B0">
        <w:rPr>
          <w:rStyle w:val="VerbatimChar"/>
          <w:sz w:val="20"/>
        </w:rPr>
        <w:t>陈锐</w:t>
      </w:r>
      <w:r w:rsidRPr="00B573B0">
        <w:rPr>
          <w:rStyle w:val="VerbatimChar"/>
          <w:sz w:val="20"/>
        </w:rPr>
        <w:t>},</w:t>
      </w:r>
      <w:r w:rsidRPr="00B573B0">
        <w:rPr>
          <w:sz w:val="21"/>
        </w:rPr>
        <w:br/>
      </w:r>
      <w:r w:rsidRPr="00B573B0">
        <w:rPr>
          <w:rStyle w:val="VerbatimChar"/>
          <w:sz w:val="20"/>
        </w:rPr>
        <w:t>journal = {</w:t>
      </w:r>
      <w:r w:rsidRPr="00B573B0">
        <w:rPr>
          <w:rStyle w:val="VerbatimChar"/>
          <w:sz w:val="20"/>
        </w:rPr>
        <w:t>金融研究</w:t>
      </w:r>
      <w:r w:rsidRPr="00B573B0">
        <w:rPr>
          <w:rStyle w:val="VerbatimChar"/>
          <w:sz w:val="20"/>
        </w:rPr>
        <w:t>},</w:t>
      </w:r>
      <w:bookmarkStart w:id="1" w:name="_GoBack"/>
      <w:bookmarkEnd w:id="1"/>
      <w:r w:rsidRPr="00B573B0">
        <w:rPr>
          <w:sz w:val="21"/>
        </w:rPr>
        <w:br/>
      </w:r>
      <w:r w:rsidRPr="00B573B0">
        <w:rPr>
          <w:rStyle w:val="VerbatimChar"/>
          <w:sz w:val="20"/>
        </w:rPr>
        <w:t>mendeley-groups = {</w:t>
      </w:r>
      <w:r w:rsidRPr="00B573B0">
        <w:rPr>
          <w:rStyle w:val="VerbatimChar"/>
          <w:sz w:val="20"/>
        </w:rPr>
        <w:t>实证金融</w:t>
      </w:r>
      <w:r w:rsidRPr="00B573B0">
        <w:rPr>
          <w:rStyle w:val="VerbatimChar"/>
          <w:sz w:val="20"/>
        </w:rPr>
        <w:t>},</w:t>
      </w:r>
      <w:r w:rsidRPr="00B573B0">
        <w:rPr>
          <w:sz w:val="21"/>
        </w:rPr>
        <w:br/>
      </w:r>
      <w:r w:rsidRPr="00B573B0">
        <w:rPr>
          <w:rStyle w:val="VerbatimChar"/>
          <w:sz w:val="20"/>
        </w:rPr>
        <w:t>number = {3},</w:t>
      </w:r>
      <w:r w:rsidRPr="00B573B0">
        <w:rPr>
          <w:sz w:val="21"/>
        </w:rPr>
        <w:br/>
      </w:r>
      <w:r w:rsidRPr="00B573B0">
        <w:rPr>
          <w:rStyle w:val="VerbatimChar"/>
          <w:sz w:val="20"/>
        </w:rPr>
        <w:t>title = {</w:t>
      </w:r>
      <w:r w:rsidRPr="00B573B0">
        <w:rPr>
          <w:rStyle w:val="VerbatimChar"/>
          <w:sz w:val="20"/>
        </w:rPr>
        <w:t>创新能力对上市公司并购业绩的影响</w:t>
      </w:r>
      <w:r w:rsidRPr="00B573B0">
        <w:rPr>
          <w:rStyle w:val="VerbatimChar"/>
          <w:sz w:val="20"/>
        </w:rPr>
        <w:t>},</w:t>
      </w:r>
      <w:r w:rsidRPr="00B573B0">
        <w:rPr>
          <w:sz w:val="21"/>
        </w:rPr>
        <w:br/>
      </w:r>
      <w:r w:rsidRPr="00B573B0">
        <w:rPr>
          <w:rStyle w:val="VerbatimChar"/>
          <w:sz w:val="20"/>
        </w:rPr>
        <w:t>year = {2017}</w:t>
      </w:r>
      <w:r w:rsidRPr="00B573B0">
        <w:rPr>
          <w:sz w:val="21"/>
        </w:rPr>
        <w:br/>
      </w:r>
      <w:r w:rsidRPr="00B573B0">
        <w:rPr>
          <w:rStyle w:val="VerbatimChar"/>
          <w:sz w:val="20"/>
        </w:rPr>
        <w:t>}</w:t>
      </w:r>
    </w:p>
    <w:p w14:paraId="037F8D4C" w14:textId="77777777" w:rsidR="00B64398" w:rsidRDefault="0043712D">
      <w:pPr>
        <w:pStyle w:val="FirstParagraph"/>
        <w:rPr>
          <w:lang w:eastAsia="zh-CN"/>
        </w:rPr>
      </w:pPr>
      <w:proofErr w:type="spellStart"/>
      <w:r>
        <w:t>创新能力是企业提升业绩的法宝，公司获取创新能力的途径包括自主研发和外部获取</w:t>
      </w:r>
      <w:proofErr w:type="spellEnd"/>
      <w:r>
        <w:t>。</w:t>
      </w:r>
      <w:r>
        <w:rPr>
          <w:lang w:eastAsia="zh-CN"/>
        </w:rPr>
        <w:t>而通过并购获取目标公司的创新技术逐渐成为并购的重要动机之一。本文从并购双方专利入手，考察了创新能力对并购企业的绩效的影响。</w:t>
      </w:r>
    </w:p>
    <w:p w14:paraId="4F5C4DE9" w14:textId="77777777" w:rsidR="00B64398" w:rsidRDefault="0043712D">
      <w:pPr>
        <w:pStyle w:val="Heading2"/>
        <w:rPr>
          <w:lang w:eastAsia="zh-CN"/>
        </w:rPr>
      </w:pPr>
      <w:bookmarkStart w:id="2" w:name="并购"/>
      <w:r>
        <w:rPr>
          <w:lang w:eastAsia="zh-CN"/>
        </w:rPr>
        <w:t>并购</w:t>
      </w:r>
      <w:bookmarkEnd w:id="2"/>
    </w:p>
    <w:p w14:paraId="2325D16B" w14:textId="77777777" w:rsidR="00B64398" w:rsidRDefault="0043712D">
      <w:pPr>
        <w:pStyle w:val="FirstParagraph"/>
        <w:rPr>
          <w:lang w:eastAsia="zh-CN"/>
        </w:rPr>
      </w:pPr>
      <w:r>
        <w:rPr>
          <w:lang w:eastAsia="zh-CN"/>
        </w:rPr>
        <w:t>并购重组是各国资本市场资源配置的重要环节之一，二战以后市场经济国家往往</w:t>
      </w:r>
      <w:r>
        <w:rPr>
          <w:lang w:eastAsia="zh-CN"/>
        </w:rPr>
        <w:t>10</w:t>
      </w:r>
      <w:r>
        <w:rPr>
          <w:lang w:eastAsia="zh-CN"/>
        </w:rPr>
        <w:t>余年就会发生一次并购浪潮。并购的动机和并购的价值效应也得到了广泛研究。</w:t>
      </w:r>
    </w:p>
    <w:p w14:paraId="7CDFAD51" w14:textId="77777777" w:rsidR="00B64398" w:rsidRDefault="0043712D">
      <w:pPr>
        <w:pStyle w:val="Heading3"/>
        <w:rPr>
          <w:lang w:eastAsia="zh-CN"/>
        </w:rPr>
      </w:pPr>
      <w:bookmarkStart w:id="3" w:name="为什么会发生并购"/>
      <w:r>
        <w:rPr>
          <w:lang w:eastAsia="zh-CN"/>
        </w:rPr>
        <w:t>为什么会发生并购</w:t>
      </w:r>
      <w:bookmarkEnd w:id="3"/>
    </w:p>
    <w:p w14:paraId="2C08E627" w14:textId="7A4F1095" w:rsidR="00B64398" w:rsidRDefault="0043712D">
      <w:pPr>
        <w:pStyle w:val="FirstParagraph"/>
        <w:rPr>
          <w:lang w:eastAsia="zh-CN"/>
        </w:rPr>
      </w:pPr>
      <w:r>
        <w:rPr>
          <w:lang w:eastAsia="zh-CN"/>
        </w:rPr>
        <w:t>并购是收购公司的决定，而什么促使了收购公司的这个决定，一直是西方学者的研究重点，也形成了林林总总的观点。根据邱金辉和王红昕（</w:t>
      </w:r>
      <w:r>
        <w:rPr>
          <w:lang w:eastAsia="zh-CN"/>
        </w:rPr>
        <w:t>2006</w:t>
      </w:r>
      <w:r>
        <w:rPr>
          <w:lang w:eastAsia="zh-CN"/>
        </w:rPr>
        <w:t>）</w:t>
      </w:r>
      <w:r>
        <w:rPr>
          <w:rStyle w:val="FootnoteReference"/>
        </w:rPr>
        <w:footnoteReference w:id="1"/>
      </w:r>
      <w:r>
        <w:rPr>
          <w:lang w:eastAsia="zh-CN"/>
        </w:rPr>
        <w:t>，西方</w:t>
      </w:r>
      <w:r>
        <w:rPr>
          <w:lang w:eastAsia="zh-CN"/>
        </w:rPr>
        <w:t>企业并购动机论中，威斯迈理论比较被认可，其理论将并购动机分为以下</w:t>
      </w:r>
      <w:r>
        <w:rPr>
          <w:lang w:eastAsia="zh-CN"/>
        </w:rPr>
        <w:t>7</w:t>
      </w:r>
      <w:r>
        <w:rPr>
          <w:lang w:eastAsia="zh-CN"/>
        </w:rPr>
        <w:t>种：</w:t>
      </w:r>
    </w:p>
    <w:p w14:paraId="6C722508" w14:textId="77777777" w:rsidR="00B64398" w:rsidRDefault="0043712D">
      <w:pPr>
        <w:pStyle w:val="Compact"/>
        <w:numPr>
          <w:ilvl w:val="0"/>
          <w:numId w:val="3"/>
        </w:numPr>
      </w:pPr>
      <w:proofErr w:type="spellStart"/>
      <w:r>
        <w:t>企业协同效应假说</w:t>
      </w:r>
      <w:proofErr w:type="spellEnd"/>
    </w:p>
    <w:p w14:paraId="72038CF4" w14:textId="77777777" w:rsidR="00B64398" w:rsidRDefault="0043712D">
      <w:pPr>
        <w:pStyle w:val="Compact"/>
        <w:numPr>
          <w:ilvl w:val="0"/>
          <w:numId w:val="3"/>
        </w:numPr>
      </w:pPr>
      <w:r>
        <w:t>市场力量假说</w:t>
      </w:r>
    </w:p>
    <w:p w14:paraId="0D435FF5" w14:textId="77777777" w:rsidR="00B64398" w:rsidRDefault="0043712D">
      <w:pPr>
        <w:pStyle w:val="Compact"/>
        <w:numPr>
          <w:ilvl w:val="0"/>
          <w:numId w:val="3"/>
        </w:numPr>
      </w:pPr>
      <w:r>
        <w:t>战略动机假说</w:t>
      </w:r>
    </w:p>
    <w:p w14:paraId="6CC50275" w14:textId="77777777" w:rsidR="00B64398" w:rsidRDefault="0043712D">
      <w:pPr>
        <w:pStyle w:val="Compact"/>
        <w:numPr>
          <w:ilvl w:val="0"/>
          <w:numId w:val="3"/>
        </w:numPr>
      </w:pPr>
      <w:r>
        <w:t>控制权市场假说</w:t>
      </w:r>
    </w:p>
    <w:p w14:paraId="5CFC3525" w14:textId="77777777" w:rsidR="00B64398" w:rsidRDefault="0043712D">
      <w:pPr>
        <w:pStyle w:val="Compact"/>
        <w:numPr>
          <w:ilvl w:val="0"/>
          <w:numId w:val="3"/>
        </w:numPr>
      </w:pPr>
      <w:r>
        <w:t>价值低估假说</w:t>
      </w:r>
    </w:p>
    <w:p w14:paraId="528FA2FC" w14:textId="77777777" w:rsidR="00B64398" w:rsidRDefault="0043712D">
      <w:pPr>
        <w:pStyle w:val="Compact"/>
        <w:numPr>
          <w:ilvl w:val="0"/>
          <w:numId w:val="3"/>
        </w:numPr>
      </w:pPr>
      <w:r>
        <w:t>内部利益人假说</w:t>
      </w:r>
    </w:p>
    <w:p w14:paraId="6B6C6F84" w14:textId="77777777" w:rsidR="00B64398" w:rsidRDefault="0043712D">
      <w:pPr>
        <w:pStyle w:val="Compact"/>
        <w:numPr>
          <w:ilvl w:val="0"/>
          <w:numId w:val="3"/>
        </w:numPr>
      </w:pPr>
      <w:r>
        <w:t>过度自信假说</w:t>
      </w:r>
    </w:p>
    <w:p w14:paraId="39FF1037" w14:textId="77777777" w:rsidR="00B64398" w:rsidRDefault="0043712D">
      <w:pPr>
        <w:pStyle w:val="FirstParagraph"/>
        <w:rPr>
          <w:lang w:eastAsia="zh-CN"/>
        </w:rPr>
      </w:pPr>
      <w:r>
        <w:rPr>
          <w:lang w:eastAsia="zh-CN"/>
        </w:rPr>
        <w:t>而我国的企业并购动机又可分为企业层面和政府层面的动机，企业层面主要有优惠政策、竞争优势双向转移、控制权增效等因素，政府层面有破产替代、资源优化、消除亏损、投机性重组等观点。</w:t>
      </w:r>
    </w:p>
    <w:p w14:paraId="091DF22A" w14:textId="77777777" w:rsidR="00B64398" w:rsidRDefault="0043712D">
      <w:pPr>
        <w:pStyle w:val="Heading3"/>
        <w:rPr>
          <w:lang w:eastAsia="zh-CN"/>
        </w:rPr>
      </w:pPr>
      <w:bookmarkStart w:id="4" w:name="如何评价并购"/>
      <w:r>
        <w:rPr>
          <w:lang w:eastAsia="zh-CN"/>
        </w:rPr>
        <w:lastRenderedPageBreak/>
        <w:t>如何评价并购</w:t>
      </w:r>
      <w:bookmarkEnd w:id="4"/>
    </w:p>
    <w:p w14:paraId="5CDFE31D" w14:textId="77777777" w:rsidR="00B64398" w:rsidRDefault="0043712D">
      <w:pPr>
        <w:pStyle w:val="FirstParagraph"/>
        <w:rPr>
          <w:lang w:eastAsia="zh-CN"/>
        </w:rPr>
      </w:pPr>
      <w:r>
        <w:rPr>
          <w:lang w:eastAsia="zh-CN"/>
        </w:rPr>
        <w:t>由上可知，每个企业并购的动机有多重因素影响，跟市场的复杂变幻息息相关。我们要评价并购案例是否成功，很难通过企业并购的初始动机来分析，但作为一家企业</w:t>
      </w:r>
      <w:r>
        <w:rPr>
          <w:lang w:eastAsia="zh-CN"/>
        </w:rPr>
        <w:t>，其经营的最基本的目标应该是提升绩效，因此，并购绩效成为并购研究的主战场。</w:t>
      </w:r>
    </w:p>
    <w:p w14:paraId="1418AFAC" w14:textId="77777777" w:rsidR="00B64398" w:rsidRDefault="0043712D">
      <w:pPr>
        <w:pStyle w:val="BodyText"/>
        <w:rPr>
          <w:lang w:eastAsia="zh-CN"/>
        </w:rPr>
      </w:pPr>
      <w:r>
        <w:rPr>
          <w:lang w:eastAsia="zh-CN"/>
        </w:rPr>
        <w:t>并购绩效又怎么样来考察呢？叶会（</w:t>
      </w:r>
      <w:r>
        <w:rPr>
          <w:lang w:eastAsia="zh-CN"/>
        </w:rPr>
        <w:t>2008</w:t>
      </w:r>
      <w:r>
        <w:rPr>
          <w:lang w:eastAsia="zh-CN"/>
        </w:rPr>
        <w:t>）</w:t>
      </w:r>
      <w:r>
        <w:rPr>
          <w:rStyle w:val="FootnoteReference"/>
        </w:rPr>
        <w:footnoteReference w:id="2"/>
      </w:r>
      <w:r>
        <w:rPr>
          <w:lang w:eastAsia="zh-CN"/>
        </w:rPr>
        <w:t>指出，学术界对并购价值效应的研究主要有基于股东短期、长期财富效应的事件研究法和基于企业会计数据的会计研究法。</w:t>
      </w:r>
    </w:p>
    <w:p w14:paraId="12180EB0" w14:textId="77777777" w:rsidR="00B64398" w:rsidRDefault="0043712D">
      <w:pPr>
        <w:pStyle w:val="Heading2"/>
        <w:rPr>
          <w:lang w:eastAsia="zh-CN"/>
        </w:rPr>
      </w:pPr>
      <w:bookmarkStart w:id="5" w:name="创新能力"/>
      <w:r>
        <w:rPr>
          <w:lang w:eastAsia="zh-CN"/>
        </w:rPr>
        <w:t>创新能力</w:t>
      </w:r>
      <w:bookmarkEnd w:id="5"/>
    </w:p>
    <w:p w14:paraId="3FF82811" w14:textId="77777777" w:rsidR="00B64398" w:rsidRDefault="0043712D">
      <w:pPr>
        <w:pStyle w:val="FirstParagraph"/>
        <w:rPr>
          <w:lang w:eastAsia="zh-CN"/>
        </w:rPr>
      </w:pPr>
      <w:r>
        <w:rPr>
          <w:lang w:eastAsia="zh-CN"/>
        </w:rPr>
        <w:t>在对企业的研究中，创新能力被多角度表明为企业发展的关键。这篇论文从以下几个方面对创新能力研究作了详细的文献综述：</w:t>
      </w:r>
    </w:p>
    <w:p w14:paraId="2E25DB82" w14:textId="77777777" w:rsidR="00B64398" w:rsidRDefault="0043712D">
      <w:pPr>
        <w:pStyle w:val="Compact"/>
        <w:numPr>
          <w:ilvl w:val="0"/>
          <w:numId w:val="4"/>
        </w:numPr>
      </w:pPr>
      <w:proofErr w:type="spellStart"/>
      <w:r>
        <w:t>提升企业竞争力</w:t>
      </w:r>
      <w:proofErr w:type="spellEnd"/>
    </w:p>
    <w:p w14:paraId="7D62E111" w14:textId="77777777" w:rsidR="00B64398" w:rsidRDefault="0043712D">
      <w:pPr>
        <w:pStyle w:val="Compact"/>
        <w:numPr>
          <w:ilvl w:val="0"/>
          <w:numId w:val="4"/>
        </w:numPr>
      </w:pPr>
      <w:r>
        <w:t>企业成长性</w:t>
      </w:r>
    </w:p>
    <w:p w14:paraId="55613705" w14:textId="77777777" w:rsidR="00B64398" w:rsidRDefault="0043712D">
      <w:pPr>
        <w:pStyle w:val="Compact"/>
        <w:numPr>
          <w:ilvl w:val="0"/>
          <w:numId w:val="4"/>
        </w:numPr>
      </w:pPr>
      <w:r>
        <w:t>企业的财务业绩</w:t>
      </w:r>
    </w:p>
    <w:p w14:paraId="0D889FC0" w14:textId="77777777" w:rsidR="00B64398" w:rsidRDefault="0043712D">
      <w:pPr>
        <w:pStyle w:val="Compact"/>
        <w:numPr>
          <w:ilvl w:val="0"/>
          <w:numId w:val="4"/>
        </w:numPr>
      </w:pPr>
      <w:r>
        <w:t>企业的股票收益率</w:t>
      </w:r>
    </w:p>
    <w:p w14:paraId="4D652F90" w14:textId="77777777" w:rsidR="00B64398" w:rsidRDefault="0043712D">
      <w:pPr>
        <w:pStyle w:val="FirstParagraph"/>
        <w:rPr>
          <w:lang w:eastAsia="zh-CN"/>
        </w:rPr>
      </w:pPr>
      <w:r>
        <w:rPr>
          <w:lang w:eastAsia="zh-CN"/>
        </w:rPr>
        <w:t>创新能力可以使企业获得竞争优势，提升公司财务业绩，促进企业的成长并增加其股票收益率，对企业的发展</w:t>
      </w:r>
      <w:r>
        <w:rPr>
          <w:lang w:eastAsia="zh-CN"/>
        </w:rPr>
        <w:t>具有重要的作用。</w:t>
      </w:r>
    </w:p>
    <w:p w14:paraId="3DDE8499" w14:textId="77777777" w:rsidR="00B64398" w:rsidRDefault="0043712D">
      <w:pPr>
        <w:pStyle w:val="Heading3"/>
        <w:rPr>
          <w:lang w:eastAsia="zh-CN"/>
        </w:rPr>
      </w:pPr>
      <w:bookmarkStart w:id="6" w:name="企业如何获取创新能力"/>
      <w:r>
        <w:rPr>
          <w:lang w:eastAsia="zh-CN"/>
        </w:rPr>
        <w:t>企业如何获取创新能力</w:t>
      </w:r>
      <w:bookmarkEnd w:id="6"/>
    </w:p>
    <w:p w14:paraId="1C91C0E5" w14:textId="77777777" w:rsidR="00B64398" w:rsidRDefault="0043712D">
      <w:pPr>
        <w:pStyle w:val="FirstParagraph"/>
        <w:rPr>
          <w:lang w:eastAsia="zh-CN"/>
        </w:rPr>
      </w:pPr>
      <w:r>
        <w:rPr>
          <w:lang w:eastAsia="zh-CN"/>
        </w:rPr>
        <w:t>获取创新能力主要有两种途径：封闭式创新与开放式创新。</w:t>
      </w:r>
      <w:r>
        <w:rPr>
          <w:lang w:eastAsia="zh-CN"/>
        </w:rPr>
        <w:t xml:space="preserve"> </w:t>
      </w:r>
      <w:r>
        <w:rPr>
          <w:lang w:eastAsia="zh-CN"/>
        </w:rPr>
        <w:t>相对于封闭式创新，开放式创新模式下企业可以利用内部和外部两方面的创意资源，扩展了企业创新的来源。近来越来越多研究表明企业可以通过并购获得外部知识以增加自身的创新能力。而通过并购获取创新能力无疑也是一种开放式创新。</w:t>
      </w:r>
    </w:p>
    <w:p w14:paraId="1EA1C678" w14:textId="77777777" w:rsidR="00B64398" w:rsidRDefault="0043712D">
      <w:pPr>
        <w:pStyle w:val="Heading2"/>
        <w:rPr>
          <w:lang w:eastAsia="zh-CN"/>
        </w:rPr>
      </w:pPr>
      <w:bookmarkStart w:id="7" w:name="创新能力如何影响并购绩效"/>
      <w:r>
        <w:rPr>
          <w:lang w:eastAsia="zh-CN"/>
        </w:rPr>
        <w:t>创新能力如何影响并购绩效</w:t>
      </w:r>
      <w:bookmarkEnd w:id="7"/>
    </w:p>
    <w:p w14:paraId="3F47A2B1" w14:textId="77777777" w:rsidR="00B64398" w:rsidRDefault="0043712D">
      <w:pPr>
        <w:pStyle w:val="FirstParagraph"/>
        <w:rPr>
          <w:lang w:eastAsia="zh-CN"/>
        </w:rPr>
      </w:pPr>
      <w:r>
        <w:rPr>
          <w:lang w:eastAsia="zh-CN"/>
        </w:rPr>
        <w:t>本文探究公司创新能力对上市公司并购业绩的影响暗含以下逻辑</w:t>
      </w:r>
      <w:r>
        <w:rPr>
          <w:lang w:eastAsia="zh-CN"/>
        </w:rPr>
        <w:t xml:space="preserve">: </w:t>
      </w:r>
      <w:r>
        <w:rPr>
          <w:lang w:eastAsia="zh-CN"/>
        </w:rPr>
        <w:t>上市公司通过并购创新性目标方可以促进自身创新，而创新是企业成长和价值增值的主要驱动力，继而并购创新性目标方可为上市公司带来更好的股票市场业绩。</w:t>
      </w:r>
    </w:p>
    <w:p w14:paraId="3A392383" w14:textId="77777777" w:rsidR="00B64398" w:rsidRDefault="0043712D">
      <w:pPr>
        <w:pStyle w:val="Heading2"/>
        <w:rPr>
          <w:lang w:eastAsia="zh-CN"/>
        </w:rPr>
      </w:pPr>
      <w:bookmarkStart w:id="8" w:name="数据"/>
      <w:r>
        <w:rPr>
          <w:lang w:eastAsia="zh-CN"/>
        </w:rPr>
        <w:t>数据</w:t>
      </w:r>
      <w:bookmarkEnd w:id="8"/>
    </w:p>
    <w:p w14:paraId="3D142FCF" w14:textId="77777777" w:rsidR="00B64398" w:rsidRDefault="0043712D">
      <w:pPr>
        <w:pStyle w:val="FirstParagraph"/>
        <w:rPr>
          <w:lang w:eastAsia="zh-CN"/>
        </w:rPr>
      </w:pPr>
      <w:r>
        <w:rPr>
          <w:lang w:eastAsia="zh-CN"/>
        </w:rPr>
        <w:t>本文的研究范围是</w:t>
      </w:r>
      <w:r>
        <w:rPr>
          <w:lang w:eastAsia="zh-CN"/>
        </w:rPr>
        <w:t>1998</w:t>
      </w:r>
      <w:r>
        <w:rPr>
          <w:lang w:eastAsia="zh-CN"/>
        </w:rPr>
        <w:t>年</w:t>
      </w:r>
      <w:r>
        <w:rPr>
          <w:lang w:eastAsia="zh-CN"/>
        </w:rPr>
        <w:t>1</w:t>
      </w:r>
      <w:r>
        <w:rPr>
          <w:lang w:eastAsia="zh-CN"/>
        </w:rPr>
        <w:t>月至</w:t>
      </w:r>
      <w:r>
        <w:rPr>
          <w:lang w:eastAsia="zh-CN"/>
        </w:rPr>
        <w:t>2015</w:t>
      </w:r>
      <w:r>
        <w:rPr>
          <w:lang w:eastAsia="zh-CN"/>
        </w:rPr>
        <w:t>年</w:t>
      </w:r>
      <w:r>
        <w:rPr>
          <w:lang w:eastAsia="zh-CN"/>
        </w:rPr>
        <w:t>7</w:t>
      </w:r>
      <w:r>
        <w:rPr>
          <w:lang w:eastAsia="zh-CN"/>
        </w:rPr>
        <w:t>月上市公司作为买方的所有股权并购事件。</w:t>
      </w:r>
    </w:p>
    <w:p w14:paraId="4A7ADC29" w14:textId="77777777" w:rsidR="00B64398" w:rsidRDefault="0043712D">
      <w:pPr>
        <w:pStyle w:val="BodyText"/>
        <w:rPr>
          <w:lang w:eastAsia="zh-CN"/>
        </w:rPr>
      </w:pPr>
      <w:r>
        <w:rPr>
          <w:lang w:eastAsia="zh-CN"/>
        </w:rPr>
        <w:t>并购数据、上市公司财务数据和上市公司股票的日度和月度收益率数据均来自</w:t>
      </w:r>
      <w:r>
        <w:rPr>
          <w:b/>
          <w:lang w:eastAsia="zh-CN"/>
        </w:rPr>
        <w:t>国泰安</w:t>
      </w:r>
      <w:r>
        <w:rPr>
          <w:lang w:eastAsia="zh-CN"/>
        </w:rPr>
        <w:t>数据库。为度量企业创新能力，本文采取通过国家知识产权局核准并授予的公司</w:t>
      </w:r>
      <w:r>
        <w:rPr>
          <w:b/>
          <w:lang w:eastAsia="zh-CN"/>
        </w:rPr>
        <w:t>专利数量</w:t>
      </w:r>
      <w:r>
        <w:rPr>
          <w:lang w:eastAsia="zh-CN"/>
        </w:rPr>
        <w:lastRenderedPageBreak/>
        <w:t>作为创新指标。在获取专利数量时，文章用了</w:t>
      </w:r>
      <w:r>
        <w:rPr>
          <w:lang w:eastAsia="zh-CN"/>
        </w:rPr>
        <w:t>python</w:t>
      </w:r>
      <w:r>
        <w:rPr>
          <w:lang w:eastAsia="zh-CN"/>
        </w:rPr>
        <w:t>爬虫来爬去</w:t>
      </w:r>
      <w:r>
        <w:rPr>
          <w:b/>
          <w:lang w:eastAsia="zh-CN"/>
        </w:rPr>
        <w:t>佰腾</w:t>
      </w:r>
      <w:r>
        <w:rPr>
          <w:b/>
          <w:lang w:eastAsia="zh-CN"/>
        </w:rPr>
        <w:t>专利检索网页</w:t>
      </w:r>
      <w:r>
        <w:rPr>
          <w:lang w:eastAsia="zh-CN"/>
        </w:rPr>
        <w:t>的数据（实际上，</w:t>
      </w:r>
      <w:r>
        <w:rPr>
          <w:b/>
          <w:lang w:eastAsia="zh-CN"/>
        </w:rPr>
        <w:t>中国国家知识产权局网站</w:t>
      </w:r>
      <w:r>
        <w:rPr>
          <w:lang w:eastAsia="zh-CN"/>
        </w:rPr>
        <w:t>就可以查询更准确的数据）。</w:t>
      </w:r>
    </w:p>
    <w:p w14:paraId="665CE111" w14:textId="77777777" w:rsidR="00B64398" w:rsidRDefault="0043712D">
      <w:pPr>
        <w:pStyle w:val="BodyText"/>
        <w:rPr>
          <w:lang w:eastAsia="zh-CN"/>
        </w:rPr>
      </w:pPr>
      <w:r>
        <w:rPr>
          <w:lang w:eastAsia="zh-CN"/>
        </w:rPr>
        <w:t>在搜索的并购数据中，文章做了以下筛选：</w:t>
      </w:r>
    </w:p>
    <w:p w14:paraId="143330A8" w14:textId="77777777" w:rsidR="00B64398" w:rsidRDefault="0043712D">
      <w:pPr>
        <w:pStyle w:val="Compact"/>
        <w:numPr>
          <w:ilvl w:val="0"/>
          <w:numId w:val="5"/>
        </w:numPr>
        <w:rPr>
          <w:lang w:eastAsia="zh-CN"/>
        </w:rPr>
      </w:pPr>
      <w:r>
        <w:rPr>
          <w:lang w:eastAsia="zh-CN"/>
        </w:rPr>
        <w:t>同一家上市公司</w:t>
      </w:r>
      <w:r>
        <w:rPr>
          <w:lang w:eastAsia="zh-CN"/>
        </w:rPr>
        <w:t xml:space="preserve">1 </w:t>
      </w:r>
      <w:r>
        <w:rPr>
          <w:lang w:eastAsia="zh-CN"/>
        </w:rPr>
        <w:t>个月内发起多个并购公告仅保留第一个事件，避免多个事件相互影响。</w:t>
      </w:r>
    </w:p>
    <w:p w14:paraId="0ADE4A97" w14:textId="77777777" w:rsidR="00B64398" w:rsidRDefault="0043712D">
      <w:pPr>
        <w:pStyle w:val="Compact"/>
        <w:numPr>
          <w:ilvl w:val="0"/>
          <w:numId w:val="5"/>
        </w:numPr>
        <w:rPr>
          <w:lang w:eastAsia="zh-CN"/>
        </w:rPr>
      </w:pPr>
      <w:r>
        <w:rPr>
          <w:lang w:eastAsia="zh-CN"/>
        </w:rPr>
        <w:t>删除要约收购事件，并选择并</w:t>
      </w:r>
      <w:r>
        <w:rPr>
          <w:lang w:eastAsia="zh-CN"/>
        </w:rPr>
        <w:t xml:space="preserve"> </w:t>
      </w:r>
      <w:r>
        <w:rPr>
          <w:lang w:eastAsia="zh-CN"/>
        </w:rPr>
        <w:t>购股份比例在</w:t>
      </w:r>
      <w:r>
        <w:rPr>
          <w:lang w:eastAsia="zh-CN"/>
        </w:rPr>
        <w:t>5%</w:t>
      </w:r>
      <w:r>
        <w:rPr>
          <w:lang w:eastAsia="zh-CN"/>
        </w:rPr>
        <w:t>及以上的事件。</w:t>
      </w:r>
    </w:p>
    <w:p w14:paraId="0CE0471E" w14:textId="77777777" w:rsidR="00B64398" w:rsidRDefault="0043712D">
      <w:pPr>
        <w:pStyle w:val="Compact"/>
        <w:numPr>
          <w:ilvl w:val="0"/>
          <w:numId w:val="5"/>
        </w:numPr>
        <w:rPr>
          <w:lang w:eastAsia="zh-CN"/>
        </w:rPr>
      </w:pPr>
      <w:r>
        <w:rPr>
          <w:lang w:eastAsia="zh-CN"/>
        </w:rPr>
        <w:t>由于金融业的特殊性，将买方企业属于金融业的样本予</w:t>
      </w:r>
      <w:r>
        <w:rPr>
          <w:lang w:eastAsia="zh-CN"/>
        </w:rPr>
        <w:t xml:space="preserve"> </w:t>
      </w:r>
      <w:r>
        <w:rPr>
          <w:lang w:eastAsia="zh-CN"/>
        </w:rPr>
        <w:t>以剔除。</w:t>
      </w:r>
    </w:p>
    <w:p w14:paraId="13150F96" w14:textId="77777777" w:rsidR="00B64398" w:rsidRDefault="0043712D">
      <w:pPr>
        <w:pStyle w:val="FirstParagraph"/>
        <w:rPr>
          <w:lang w:eastAsia="zh-CN"/>
        </w:rPr>
      </w:pPr>
      <w:r>
        <w:rPr>
          <w:lang w:eastAsia="zh-CN"/>
        </w:rPr>
        <w:t>经过筛选，本文的样本事件一共</w:t>
      </w:r>
      <w:r>
        <w:rPr>
          <w:i/>
          <w:lang w:eastAsia="zh-CN"/>
        </w:rPr>
        <w:t>7086</w:t>
      </w:r>
      <w:r>
        <w:rPr>
          <w:lang w:eastAsia="zh-CN"/>
        </w:rPr>
        <w:t>起，时间跨度为</w:t>
      </w:r>
      <w:r>
        <w:rPr>
          <w:lang w:eastAsia="zh-CN"/>
        </w:rPr>
        <w:t>1998</w:t>
      </w:r>
      <w:r>
        <w:rPr>
          <w:lang w:eastAsia="zh-CN"/>
        </w:rPr>
        <w:t>年</w:t>
      </w:r>
      <w:r>
        <w:rPr>
          <w:lang w:eastAsia="zh-CN"/>
        </w:rPr>
        <w:t>1</w:t>
      </w:r>
      <w:r>
        <w:rPr>
          <w:lang w:eastAsia="zh-CN"/>
        </w:rPr>
        <w:t>月至</w:t>
      </w:r>
      <w:r>
        <w:rPr>
          <w:lang w:eastAsia="zh-CN"/>
        </w:rPr>
        <w:t>2015</w:t>
      </w:r>
      <w:r>
        <w:rPr>
          <w:lang w:eastAsia="zh-CN"/>
        </w:rPr>
        <w:t>年</w:t>
      </w:r>
      <w:r>
        <w:rPr>
          <w:lang w:eastAsia="zh-CN"/>
        </w:rPr>
        <w:t>7</w:t>
      </w:r>
      <w:r>
        <w:rPr>
          <w:lang w:eastAsia="zh-CN"/>
        </w:rPr>
        <w:t>月。</w:t>
      </w:r>
    </w:p>
    <w:p w14:paraId="2A039E1F" w14:textId="77777777" w:rsidR="00B64398" w:rsidRDefault="0043712D">
      <w:pPr>
        <w:pStyle w:val="Heading2"/>
        <w:rPr>
          <w:lang w:eastAsia="zh-CN"/>
        </w:rPr>
      </w:pPr>
      <w:bookmarkStart w:id="9" w:name="研究设计"/>
      <w:r>
        <w:rPr>
          <w:lang w:eastAsia="zh-CN"/>
        </w:rPr>
        <w:t>研究设计</w:t>
      </w:r>
      <w:bookmarkEnd w:id="9"/>
    </w:p>
    <w:p w14:paraId="67D5E0AE" w14:textId="77777777" w:rsidR="00B64398" w:rsidRDefault="0043712D">
      <w:pPr>
        <w:pStyle w:val="FirstParagraph"/>
        <w:rPr>
          <w:lang w:eastAsia="zh-CN"/>
        </w:rPr>
      </w:pPr>
      <w:r>
        <w:rPr>
          <w:lang w:eastAsia="zh-CN"/>
        </w:rPr>
        <w:t>文章采用了三种方法：</w:t>
      </w:r>
    </w:p>
    <w:p w14:paraId="13194FC0" w14:textId="77777777" w:rsidR="00B64398" w:rsidRDefault="0043712D">
      <w:pPr>
        <w:pStyle w:val="Compact"/>
        <w:numPr>
          <w:ilvl w:val="0"/>
          <w:numId w:val="6"/>
        </w:numPr>
      </w:pPr>
      <w:proofErr w:type="spellStart"/>
      <w:r>
        <w:t>事件研究法</w:t>
      </w:r>
      <w:proofErr w:type="spellEnd"/>
    </w:p>
    <w:p w14:paraId="4D1538BD" w14:textId="77777777" w:rsidR="00B64398" w:rsidRDefault="0043712D">
      <w:pPr>
        <w:pStyle w:val="Compact"/>
        <w:numPr>
          <w:ilvl w:val="0"/>
          <w:numId w:val="6"/>
        </w:numPr>
      </w:pPr>
      <w:r>
        <w:t>日历时间组合法</w:t>
      </w:r>
    </w:p>
    <w:p w14:paraId="422E8925" w14:textId="77777777" w:rsidR="00B64398" w:rsidRDefault="0043712D">
      <w:pPr>
        <w:pStyle w:val="Compact"/>
        <w:numPr>
          <w:ilvl w:val="0"/>
          <w:numId w:val="6"/>
        </w:numPr>
      </w:pPr>
      <w:r>
        <w:t>多元回归模型</w:t>
      </w:r>
    </w:p>
    <w:p w14:paraId="0E502C28" w14:textId="77777777" w:rsidR="00B64398" w:rsidRDefault="0043712D">
      <w:pPr>
        <w:pStyle w:val="Heading3"/>
      </w:pPr>
      <w:bookmarkStart w:id="10" w:name="事件研究法"/>
      <w:r>
        <w:t>事件研究法</w:t>
      </w:r>
      <w:bookmarkEnd w:id="10"/>
    </w:p>
    <w:p w14:paraId="34BABA99" w14:textId="77777777" w:rsidR="00B64398" w:rsidRDefault="0043712D">
      <w:pPr>
        <w:pStyle w:val="FirstParagraph"/>
        <w:rPr>
          <w:lang w:eastAsia="zh-CN"/>
        </w:rPr>
      </w:pPr>
      <w:r>
        <w:rPr>
          <w:lang w:eastAsia="zh-CN"/>
        </w:rPr>
        <w:t>事件研究法主要考察并购发生前后长期和短期的股票收益。</w:t>
      </w:r>
    </w:p>
    <w:p w14:paraId="7A953EAB" w14:textId="77777777" w:rsidR="00B64398" w:rsidRDefault="0043712D">
      <w:pPr>
        <w:pStyle w:val="BodyText"/>
        <w:rPr>
          <w:lang w:eastAsia="zh-CN"/>
        </w:rPr>
      </w:pPr>
      <w:r>
        <w:rPr>
          <w:lang w:eastAsia="zh-CN"/>
        </w:rPr>
        <w:t>短期事件研究考察上市公司并购的</w:t>
      </w:r>
      <w:r>
        <w:rPr>
          <w:b/>
          <w:lang w:eastAsia="zh-CN"/>
        </w:rPr>
        <w:t>短期异常收益率</w:t>
      </w:r>
      <w:r>
        <w:rPr>
          <w:lang w:eastAsia="zh-CN"/>
        </w:rPr>
        <w:t>，所有样本事件涉及的股票的平均累积异常收益率为</w:t>
      </w:r>
    </w:p>
    <w:p w14:paraId="4A922413" w14:textId="77777777" w:rsidR="00B64398" w:rsidRDefault="0043712D">
      <w:pPr>
        <w:pStyle w:val="BodyText"/>
      </w:pPr>
      <m:oMathPara>
        <m:oMathParaPr>
          <m:jc m:val="center"/>
        </m:oMathParaPr>
        <m:oMath>
          <m:bar>
            <m:barPr>
              <m:pos m:val="top"/>
              <m:ctrlPr>
                <w:rPr>
                  <w:rFonts w:ascii="Cambria Math" w:hAnsi="Cambria Math"/>
                </w:rPr>
              </m:ctrlPr>
            </m:barPr>
            <m:e>
              <m:r>
                <w:rPr>
                  <w:rFonts w:ascii="Cambria Math" w:hAnsi="Cambria Math"/>
                </w:rPr>
                <m:t>CAR</m:t>
              </m:r>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sub>
            <m:sup>
              <m:sSub>
                <m:sSubPr>
                  <m:ctrlPr>
                    <w:rPr>
                      <w:rFonts w:ascii="Cambria Math" w:hAnsi="Cambria Math"/>
                    </w:rPr>
                  </m:ctrlPr>
                </m:sSubPr>
                <m:e>
                  <m:r>
                    <w:rPr>
                      <w:rFonts w:ascii="Cambria Math" w:hAnsi="Cambria Math"/>
                    </w:rPr>
                    <m:t>t</m:t>
                  </m:r>
                </m:e>
                <m:sub>
                  <m:r>
                    <w:rPr>
                      <w:rFonts w:ascii="Cambria Math" w:hAnsi="Cambria Math"/>
                    </w:rPr>
                    <m:t>2</m:t>
                  </m:r>
                </m:sub>
              </m:sSub>
            </m:sup>
            <m:e>
              <m:r>
                <w:rPr>
                  <w:rFonts w:ascii="Cambria Math" w:hAnsi="Cambria Math"/>
                </w:rPr>
                <m:t>A</m:t>
              </m:r>
            </m:e>
          </m:nary>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t</m:t>
              </m:r>
            </m:sub>
          </m:sSub>
        </m:oMath>
      </m:oMathPara>
    </w:p>
    <w:p w14:paraId="637ED3C7" w14:textId="77777777" w:rsidR="00B64398" w:rsidRDefault="0043712D">
      <w:pPr>
        <w:pStyle w:val="FirstParagraph"/>
        <w:rPr>
          <w:lang w:eastAsia="zh-CN"/>
        </w:rPr>
      </w:pPr>
      <m:oMath>
        <m:r>
          <w:rPr>
            <w:rFonts w:ascii="Cambria Math" w:hAnsi="Cambria Math"/>
          </w:rPr>
          <m:t>A</m:t>
        </m:r>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t</m:t>
            </m:r>
          </m:sub>
        </m:sSub>
      </m:oMath>
      <w:r>
        <w:t>是股票</w:t>
      </w:r>
      <m:oMath>
        <m:r>
          <w:rPr>
            <w:rFonts w:ascii="Cambria Math" w:hAnsi="Cambria Math"/>
          </w:rPr>
          <m:t>i</m:t>
        </m:r>
      </m:oMath>
      <w:r>
        <w:t>在</w:t>
      </w:r>
      <m:oMath>
        <m:r>
          <w:rPr>
            <w:rFonts w:ascii="Cambria Math" w:hAnsi="Cambria Math"/>
          </w:rPr>
          <m:t>t</m:t>
        </m:r>
      </m:oMath>
      <w:r>
        <w:t>日的异常收益率。</w:t>
      </w:r>
      <w:r>
        <w:rPr>
          <w:lang w:eastAsia="zh-CN"/>
        </w:rPr>
        <w:t>通过对</w:t>
      </w:r>
      <m:oMath>
        <m:bar>
          <m:barPr>
            <m:pos m:val="top"/>
            <m:ctrlPr>
              <w:rPr>
                <w:rFonts w:ascii="Cambria Math" w:hAnsi="Cambria Math"/>
              </w:rPr>
            </m:ctrlPr>
          </m:barPr>
          <m:e>
            <m:r>
              <w:rPr>
                <w:rFonts w:ascii="Cambria Math" w:hAnsi="Cambria Math"/>
                <w:lang w:eastAsia="zh-CN"/>
              </w:rPr>
              <m:t>CAR</m:t>
            </m:r>
          </m:e>
        </m:bar>
      </m:oMath>
      <w:r>
        <w:rPr>
          <w:lang w:eastAsia="zh-CN"/>
        </w:rPr>
        <w:t>的</w:t>
      </w:r>
      <w:r>
        <w:rPr>
          <w:lang w:eastAsia="zh-CN"/>
        </w:rPr>
        <w:t>t</w:t>
      </w:r>
      <w:r>
        <w:rPr>
          <w:lang w:eastAsia="zh-CN"/>
        </w:rPr>
        <w:t>检验，可以检验原假设</w:t>
      </w:r>
      <m:oMath>
        <m:bar>
          <m:barPr>
            <m:pos m:val="top"/>
            <m:ctrlPr>
              <w:rPr>
                <w:rFonts w:ascii="Cambria Math" w:hAnsi="Cambria Math"/>
              </w:rPr>
            </m:ctrlPr>
          </m:barPr>
          <m:e>
            <m:r>
              <w:rPr>
                <w:rFonts w:ascii="Cambria Math" w:hAnsi="Cambria Math"/>
                <w:lang w:eastAsia="zh-CN"/>
              </w:rPr>
              <m:t>CAR</m:t>
            </m:r>
          </m:e>
        </m:bar>
        <m:r>
          <w:rPr>
            <w:rFonts w:ascii="Cambria Math" w:hAnsi="Cambria Math"/>
            <w:lang w:eastAsia="zh-CN"/>
          </w:rPr>
          <m:t>=0</m:t>
        </m:r>
      </m:oMath>
      <w:r>
        <w:rPr>
          <w:lang w:eastAsia="zh-CN"/>
        </w:rPr>
        <w:t>的显著性。</w:t>
      </w:r>
    </w:p>
    <w:p w14:paraId="138F6232" w14:textId="77777777" w:rsidR="00B64398" w:rsidRDefault="0043712D">
      <w:pPr>
        <w:pStyle w:val="BodyText"/>
        <w:rPr>
          <w:lang w:eastAsia="zh-CN"/>
        </w:rPr>
      </w:pPr>
      <w:r>
        <w:rPr>
          <w:lang w:eastAsia="zh-CN"/>
        </w:rPr>
        <w:t>文章选取了距并购公告发出当天前后各</w:t>
      </w:r>
      <w:r>
        <w:rPr>
          <w:lang w:eastAsia="zh-CN"/>
        </w:rPr>
        <w:t>10</w:t>
      </w:r>
      <w:r>
        <w:rPr>
          <w:lang w:eastAsia="zh-CN"/>
        </w:rPr>
        <w:t>个交易日作为事件窗口，选择事件窗之前</w:t>
      </w:r>
      <w:r>
        <w:rPr>
          <w:lang w:eastAsia="zh-CN"/>
        </w:rPr>
        <w:t>250</w:t>
      </w:r>
      <w:r>
        <w:rPr>
          <w:lang w:eastAsia="zh-CN"/>
        </w:rPr>
        <w:t>个交易日约一年的时间跨度为估计窗口。可见，</w:t>
      </w:r>
      <w:r>
        <w:rPr>
          <w:b/>
          <w:lang w:eastAsia="zh-CN"/>
        </w:rPr>
        <w:t>短期事件研究</w:t>
      </w:r>
      <w:r>
        <w:rPr>
          <w:lang w:eastAsia="zh-CN"/>
        </w:rPr>
        <w:t>主要研究了并购事件在市场的引起的短期效应。</w:t>
      </w:r>
    </w:p>
    <w:p w14:paraId="7EB6D707" w14:textId="77777777" w:rsidR="00B64398" w:rsidRDefault="0043712D">
      <w:pPr>
        <w:pStyle w:val="BodyText"/>
        <w:rPr>
          <w:lang w:eastAsia="zh-CN"/>
        </w:rPr>
      </w:pPr>
      <w:r>
        <w:rPr>
          <w:lang w:eastAsia="zh-CN"/>
        </w:rPr>
        <w:t>长期事件研</w:t>
      </w:r>
      <w:r>
        <w:rPr>
          <w:lang w:eastAsia="zh-CN"/>
        </w:rPr>
        <w:t>究采用买入持有异常收益</w:t>
      </w:r>
      <w:r>
        <w:rPr>
          <w:lang w:eastAsia="zh-CN"/>
        </w:rPr>
        <w:t xml:space="preserve">(BHAR) </w:t>
      </w:r>
      <w:r>
        <w:rPr>
          <w:lang w:eastAsia="zh-CN"/>
        </w:rPr>
        <w:t>来衡量事件发生后的</w:t>
      </w:r>
      <w:r>
        <w:rPr>
          <w:b/>
          <w:lang w:eastAsia="zh-CN"/>
        </w:rPr>
        <w:t>长期异常收益率</w:t>
      </w:r>
      <w:r>
        <w:rPr>
          <w:lang w:eastAsia="zh-CN"/>
        </w:rPr>
        <w:t>。</w:t>
      </w:r>
      <w:r>
        <w:rPr>
          <w:lang w:eastAsia="zh-CN"/>
        </w:rPr>
        <w:t>BHAR</w:t>
      </w:r>
      <w:r>
        <w:rPr>
          <w:lang w:eastAsia="zh-CN"/>
        </w:rPr>
        <w:t>衡量了购买公司股票并持有直到考察期结束，公司股票收益率超过市场组合或对应组合收益率的大小，并采用</w:t>
      </w:r>
      <w:r>
        <w:rPr>
          <w:lang w:eastAsia="zh-CN"/>
        </w:rPr>
        <w:t>t</w:t>
      </w:r>
      <w:r>
        <w:rPr>
          <w:lang w:eastAsia="zh-CN"/>
        </w:rPr>
        <w:t>检验来检验显著性。本文选择的事件窗口是并购事件公告月到公告后的第</w:t>
      </w:r>
      <w:r>
        <w:rPr>
          <w:lang w:eastAsia="zh-CN"/>
        </w:rPr>
        <w:t>36</w:t>
      </w:r>
      <w:r>
        <w:rPr>
          <w:lang w:eastAsia="zh-CN"/>
        </w:rPr>
        <w:t>个月，可见</w:t>
      </w:r>
      <w:r>
        <w:rPr>
          <w:b/>
          <w:lang w:eastAsia="zh-CN"/>
        </w:rPr>
        <w:t>长期事件研究</w:t>
      </w:r>
      <w:r>
        <w:rPr>
          <w:lang w:eastAsia="zh-CN"/>
        </w:rPr>
        <w:t>目的在于考察并购事件对股票市场的长期影响。</w:t>
      </w:r>
    </w:p>
    <w:p w14:paraId="47641098" w14:textId="77777777" w:rsidR="00B64398" w:rsidRDefault="0043712D">
      <w:pPr>
        <w:pStyle w:val="Heading3"/>
        <w:rPr>
          <w:lang w:eastAsia="zh-CN"/>
        </w:rPr>
      </w:pPr>
      <w:bookmarkStart w:id="11" w:name="日历时间组合法"/>
      <w:r>
        <w:rPr>
          <w:lang w:eastAsia="zh-CN"/>
        </w:rPr>
        <w:lastRenderedPageBreak/>
        <w:t>日历时间组合法</w:t>
      </w:r>
      <w:bookmarkEnd w:id="11"/>
    </w:p>
    <w:p w14:paraId="64DD642B" w14:textId="77777777" w:rsidR="00B64398" w:rsidRDefault="0043712D">
      <w:pPr>
        <w:pStyle w:val="FirstParagraph"/>
        <w:rPr>
          <w:lang w:eastAsia="zh-CN"/>
        </w:rPr>
      </w:pPr>
      <w:r>
        <w:rPr>
          <w:lang w:eastAsia="zh-CN"/>
        </w:rPr>
        <w:t>日历时间组合法可以克服由于行业等因素导致事件公司收益在横截面上的相关性等问题，主要采用</w:t>
      </w:r>
      <w:proofErr w:type="spellStart"/>
      <w:r>
        <w:rPr>
          <w:lang w:eastAsia="zh-CN"/>
        </w:rPr>
        <w:t>Fama</w:t>
      </w:r>
      <w:proofErr w:type="spellEnd"/>
      <w:r>
        <w:rPr>
          <w:lang w:eastAsia="zh-CN"/>
        </w:rPr>
        <w:t>－</w:t>
      </w:r>
      <w:r>
        <w:rPr>
          <w:lang w:eastAsia="zh-CN"/>
        </w:rPr>
        <w:t>French</w:t>
      </w:r>
      <w:r>
        <w:rPr>
          <w:lang w:eastAsia="zh-CN"/>
        </w:rPr>
        <w:t>三因素和</w:t>
      </w:r>
      <w:r>
        <w:rPr>
          <w:lang w:eastAsia="zh-CN"/>
        </w:rPr>
        <w:t>Carhart</w:t>
      </w:r>
      <w:r>
        <w:rPr>
          <w:lang w:eastAsia="zh-CN"/>
        </w:rPr>
        <w:t>四因素对对冲组合进行回归，如果截距项显著且为正，说明长期</w:t>
      </w:r>
      <w:r>
        <w:rPr>
          <w:lang w:eastAsia="zh-CN"/>
        </w:rPr>
        <w:t>来看，并购创新性的目标公司比并购非创新性标的目标公司获得显著更高的收益；如果截距项显著且为负，结论正好相反；如果截距项不显著，说明目标公司是否创新对并购的长期业绩没有影响。</w:t>
      </w:r>
    </w:p>
    <w:p w14:paraId="1C58B45E" w14:textId="77777777" w:rsidR="00B64398" w:rsidRDefault="0043712D">
      <w:pPr>
        <w:pStyle w:val="BodyText"/>
        <w:rPr>
          <w:lang w:eastAsia="zh-CN"/>
        </w:rPr>
      </w:pPr>
      <w:r>
        <w:rPr>
          <w:b/>
          <w:lang w:eastAsia="zh-CN"/>
        </w:rPr>
        <w:t>日历时间组合法</w:t>
      </w:r>
      <w:r>
        <w:rPr>
          <w:lang w:eastAsia="zh-CN"/>
        </w:rPr>
        <w:t>主要分析了目标公司创新能力对并购的长期业绩影响。</w:t>
      </w:r>
    </w:p>
    <w:p w14:paraId="120C3F76" w14:textId="77777777" w:rsidR="00B64398" w:rsidRDefault="0043712D">
      <w:pPr>
        <w:pStyle w:val="Heading3"/>
        <w:rPr>
          <w:lang w:eastAsia="zh-CN"/>
        </w:rPr>
      </w:pPr>
      <w:bookmarkStart w:id="12" w:name="多元回归模型"/>
      <w:r>
        <w:rPr>
          <w:lang w:eastAsia="zh-CN"/>
        </w:rPr>
        <w:t>多元回归模型</w:t>
      </w:r>
      <w:bookmarkEnd w:id="12"/>
    </w:p>
    <w:p w14:paraId="7AEB4604" w14:textId="77777777" w:rsidR="00B64398" w:rsidRDefault="0043712D">
      <w:pPr>
        <w:pStyle w:val="FirstParagraph"/>
      </w:pPr>
      <w:r>
        <w:rPr>
          <w:lang w:eastAsia="zh-CN"/>
        </w:rPr>
        <w:t>事件研究法通过</w:t>
      </w:r>
      <w:r>
        <w:rPr>
          <w:lang w:eastAsia="zh-CN"/>
        </w:rPr>
        <w:t>t</w:t>
      </w:r>
      <w:r>
        <w:rPr>
          <w:lang w:eastAsia="zh-CN"/>
        </w:rPr>
        <w:t>检验来检查并购事件的异常收益率是否显著不为零，多元回归模型则进一步考虑并购双方的创新能力，分别对短期</w:t>
      </w:r>
      <w:r>
        <w:rPr>
          <w:lang w:eastAsia="zh-CN"/>
        </w:rPr>
        <w:t>CAR</w:t>
      </w:r>
      <w:r>
        <w:rPr>
          <w:lang w:eastAsia="zh-CN"/>
        </w:rPr>
        <w:t>和长期</w:t>
      </w:r>
      <w:r>
        <w:rPr>
          <w:lang w:eastAsia="zh-CN"/>
        </w:rPr>
        <w:t>BHAR</w:t>
      </w:r>
      <w:r>
        <w:rPr>
          <w:lang w:eastAsia="zh-CN"/>
        </w:rPr>
        <w:t>进行回归，从而考察并购双方创新能力在影响并购绩效中的作用。</w:t>
      </w:r>
      <w:proofErr w:type="spellStart"/>
      <w:r>
        <w:t>回归模型如下</w:t>
      </w:r>
      <w:proofErr w:type="spellEnd"/>
      <w:r>
        <w:t>：</w:t>
      </w:r>
    </w:p>
    <w:p w14:paraId="2EE9F17A" w14:textId="77777777" w:rsidR="00B64398" w:rsidRDefault="0043712D">
      <w:pPr>
        <w:pStyle w:val="BodyText"/>
      </w:pPr>
      <m:oMathPara>
        <m:oMathParaPr>
          <m:jc m:val="center"/>
        </m:oMathParaPr>
        <m:oMath>
          <m:r>
            <w:rPr>
              <w:rFonts w:ascii="Cambria Math" w:hAnsi="Cambria Math"/>
            </w:rPr>
            <m:t>CA</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BHA</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InnovativeTarget</m:t>
              </m:r>
            </m:e>
            <m:sub>
              <m:r>
                <w:rPr>
                  <w:rFonts w:ascii="Cambria Math" w:hAnsi="Cambria Math"/>
                </w:rPr>
                <m:t>-</m:t>
              </m:r>
            </m:sub>
          </m:sSub>
          <m:r>
            <w:rPr>
              <w:rFonts w:ascii="Cambria Math" w:hAnsi="Cambria Math"/>
            </w:rPr>
            <m:t>dummy</m:t>
          </m:r>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Industry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oMath>
      </m:oMathPara>
    </w:p>
    <w:p w14:paraId="5FE1B00F" w14:textId="77777777" w:rsidR="00B64398" w:rsidRDefault="0043712D">
      <w:pPr>
        <w:pStyle w:val="FirstParagraph"/>
      </w:pPr>
      <m:oMathPara>
        <m:oMathParaPr>
          <m:jc m:val="center"/>
        </m:oMathParaPr>
        <m:oMath>
          <m:r>
            <w:rPr>
              <w:rFonts w:ascii="Cambria Math" w:hAnsi="Cambria Math"/>
            </w:rPr>
            <m:t>CA</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BHA</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InnovativeAcquirer</m:t>
              </m:r>
            </m:e>
            <m:sub>
              <m:r>
                <w:rPr>
                  <w:rFonts w:ascii="Cambria Math" w:hAnsi="Cambria Math"/>
                </w:rPr>
                <m:t>-</m:t>
              </m:r>
            </m:sub>
          </m:sSub>
          <m:r>
            <w:rPr>
              <w:rFonts w:ascii="Cambria Math" w:hAnsi="Cambria Math"/>
            </w:rPr>
            <m:t>dummy</m:t>
          </m:r>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Industry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oMath>
      </m:oMathPara>
    </w:p>
    <w:p w14:paraId="702C0803" w14:textId="77777777" w:rsidR="00B64398" w:rsidRDefault="0043712D">
      <w:pPr>
        <w:pStyle w:val="FirstParagraph"/>
      </w:pPr>
      <m:oMathPara>
        <m:oMathParaPr>
          <m:jc m:val="center"/>
        </m:oMathParaPr>
        <m:oMath>
          <m:r>
            <w:rPr>
              <w:rFonts w:ascii="Cambria Math" w:hAnsi="Cambria Math"/>
            </w:rPr>
            <m:t>CA</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BHA</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ln</m:t>
          </m:r>
          <m:r>
            <w:rPr>
              <w:rFonts w:ascii="Cambria Math" w:hAnsi="Cambria Math"/>
            </w:rPr>
            <m:t>(1+</m:t>
          </m:r>
          <m:r>
            <w:rPr>
              <w:rFonts w:ascii="Cambria Math" w:hAnsi="Cambria Math"/>
            </w:rPr>
            <m:t>Targe</m:t>
          </m:r>
          <m:sSub>
            <m:sSubPr>
              <m:ctrlPr>
                <w:rPr>
                  <w:rFonts w:ascii="Cambria Math" w:hAnsi="Cambria Math"/>
                </w:rPr>
              </m:ctrlPr>
            </m:sSubPr>
            <m:e>
              <m:r>
                <w:rPr>
                  <w:rFonts w:ascii="Cambria Math" w:hAnsi="Cambria Math"/>
                </w:rPr>
                <m:t>t</m:t>
              </m:r>
            </m:e>
            <m:sub>
              <m:r>
                <w:rPr>
                  <w:rFonts w:ascii="Cambria Math" w:hAnsi="Cambria Math"/>
                </w:rPr>
                <m:t>-</m:t>
              </m:r>
            </m:sub>
          </m:sSub>
          <m:r>
            <w:rPr>
              <w:rFonts w:ascii="Cambria Math" w:hAnsi="Cambria Math"/>
            </w:rPr>
            <m:t>pat</m:t>
          </m:r>
          <m:r>
            <w:rPr>
              <w:rFonts w:ascii="Cambria Math" w:hAnsi="Cambria Math"/>
            </w:rPr>
            <m:t>ent</m:t>
          </m:r>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Year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Industry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oMath>
      </m:oMathPara>
    </w:p>
    <w:p w14:paraId="643C4FC0" w14:textId="77777777" w:rsidR="00B64398" w:rsidRDefault="0043712D">
      <w:pPr>
        <w:pStyle w:val="FirstParagraph"/>
      </w:pPr>
      <m:oMathPara>
        <m:oMathParaPr>
          <m:jc m:val="center"/>
        </m:oMathParaPr>
        <m:oMath>
          <m:r>
            <w:rPr>
              <w:rFonts w:ascii="Cambria Math" w:hAnsi="Cambria Math"/>
            </w:rPr>
            <m:t>CA</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BHA</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ln</m:t>
          </m:r>
          <m:r>
            <w:rPr>
              <w:rFonts w:ascii="Cambria Math" w:hAnsi="Cambria Math"/>
            </w:rPr>
            <m:t>(1+</m:t>
          </m:r>
          <m:r>
            <w:rPr>
              <w:rFonts w:ascii="Cambria Math" w:hAnsi="Cambria Math"/>
            </w:rPr>
            <m:t>Acquire</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patent</m:t>
          </m:r>
          <m: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Year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Industry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oMath>
      </m:oMathPara>
    </w:p>
    <w:p w14:paraId="78CC71E8" w14:textId="77777777" w:rsidR="00B64398" w:rsidRDefault="0043712D">
      <w:pPr>
        <w:pStyle w:val="FirstParagraph"/>
        <w:rPr>
          <w:lang w:eastAsia="zh-CN"/>
        </w:rPr>
      </w:pPr>
      <w:r>
        <w:rPr>
          <w:lang w:eastAsia="zh-CN"/>
        </w:rPr>
        <w:t>其中控制变</w:t>
      </w:r>
      <w:r>
        <w:rPr>
          <w:lang w:eastAsia="zh-CN"/>
        </w:rPr>
        <w:t>量</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包含了并购方的杠杆率、托宾</w:t>
      </w:r>
      <w:r>
        <w:rPr>
          <w:lang w:eastAsia="zh-CN"/>
        </w:rPr>
        <w:t>Q</w:t>
      </w:r>
      <w:r>
        <w:rPr>
          <w:lang w:eastAsia="zh-CN"/>
        </w:rPr>
        <w:t>和资产回报率，</w:t>
      </w:r>
      <w:r>
        <w:rPr>
          <w:lang w:eastAsia="zh-CN"/>
        </w:rPr>
        <w:t>ROA</w:t>
      </w:r>
      <w:r>
        <w:rPr>
          <w:lang w:eastAsia="zh-CN"/>
        </w:rPr>
        <w:t>、并购方市值、并购价值相对并购方市值比和并购支付方式六个，年度虚拟变量</w:t>
      </w:r>
      <m:oMath>
        <m:r>
          <w:rPr>
            <w:rFonts w:ascii="Cambria Math" w:hAnsi="Cambria Math"/>
            <w:lang w:eastAsia="zh-CN"/>
          </w:rPr>
          <m:t>Yea</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t</m:t>
            </m:r>
          </m:sub>
        </m:sSub>
      </m:oMath>
      <w:r>
        <w:rPr>
          <w:lang w:eastAsia="zh-CN"/>
        </w:rPr>
        <w:t>被引进来消除时间的影响，同时引入行业虚拟变量</w:t>
      </w:r>
      <m:oMath>
        <m:r>
          <w:rPr>
            <w:rFonts w:ascii="Cambria Math" w:hAnsi="Cambria Math"/>
            <w:lang w:eastAsia="zh-CN"/>
          </w:rPr>
          <m:t>I</m:t>
        </m:r>
        <m:r>
          <w:rPr>
            <w:rFonts w:ascii="Cambria Math" w:hAnsi="Cambria Math"/>
            <w:lang w:eastAsia="zh-CN"/>
          </w:rPr>
          <m:t>ndustr</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t</m:t>
            </m:r>
          </m:sub>
        </m:sSub>
      </m:oMath>
      <w:r>
        <w:rPr>
          <w:lang w:eastAsia="zh-CN"/>
        </w:rPr>
        <w:t>来控制行业固定效应。</w:t>
      </w:r>
    </w:p>
    <w:p w14:paraId="563AC678" w14:textId="77777777" w:rsidR="00B64398" w:rsidRDefault="0043712D">
      <w:pPr>
        <w:pStyle w:val="Heading2"/>
        <w:rPr>
          <w:lang w:eastAsia="zh-CN"/>
        </w:rPr>
      </w:pPr>
      <w:bookmarkStart w:id="13" w:name="实证结果"/>
      <w:r>
        <w:rPr>
          <w:lang w:eastAsia="zh-CN"/>
        </w:rPr>
        <w:t>实证结果</w:t>
      </w:r>
      <w:bookmarkEnd w:id="13"/>
    </w:p>
    <w:p w14:paraId="0A462F60" w14:textId="77777777" w:rsidR="00C14E4A" w:rsidRDefault="0043712D">
      <w:pPr>
        <w:pStyle w:val="FirstParagraph"/>
        <w:rPr>
          <w:lang w:eastAsia="zh-CN"/>
        </w:rPr>
      </w:pPr>
      <w:r>
        <w:rPr>
          <w:lang w:eastAsia="zh-CN"/>
        </w:rPr>
        <w:t>结果从三方面来呈现：</w:t>
      </w:r>
    </w:p>
    <w:p w14:paraId="6E3979E3" w14:textId="28F8C29C" w:rsidR="00C14E4A" w:rsidRDefault="0043712D">
      <w:pPr>
        <w:pStyle w:val="FirstParagraph"/>
        <w:rPr>
          <w:lang w:eastAsia="zh-CN"/>
        </w:rPr>
      </w:pPr>
      <w:r>
        <w:rPr>
          <w:lang w:eastAsia="zh-CN"/>
        </w:rPr>
        <w:t xml:space="preserve">1. </w:t>
      </w:r>
      <w:r>
        <w:rPr>
          <w:lang w:eastAsia="zh-CN"/>
        </w:rPr>
        <w:t>目标方创新能力对并购业绩的影响</w:t>
      </w:r>
      <w:r>
        <w:rPr>
          <w:lang w:eastAsia="zh-CN"/>
        </w:rPr>
        <w:t xml:space="preserve"> </w:t>
      </w:r>
    </w:p>
    <w:p w14:paraId="35481274" w14:textId="77777777" w:rsidR="00C14E4A" w:rsidRDefault="0043712D">
      <w:pPr>
        <w:pStyle w:val="FirstParagraph"/>
        <w:rPr>
          <w:lang w:eastAsia="zh-CN"/>
        </w:rPr>
      </w:pPr>
      <w:r>
        <w:rPr>
          <w:lang w:eastAsia="zh-CN"/>
        </w:rPr>
        <w:t xml:space="preserve">2. </w:t>
      </w:r>
      <w:r>
        <w:rPr>
          <w:lang w:eastAsia="zh-CN"/>
        </w:rPr>
        <w:t>并购方创新能力对并购业绩的影响</w:t>
      </w:r>
      <w:r>
        <w:rPr>
          <w:lang w:eastAsia="zh-CN"/>
        </w:rPr>
        <w:t xml:space="preserve"> </w:t>
      </w:r>
    </w:p>
    <w:p w14:paraId="27DCC6BB" w14:textId="2E05F300" w:rsidR="00B64398" w:rsidRDefault="0043712D">
      <w:pPr>
        <w:pStyle w:val="FirstParagraph"/>
        <w:rPr>
          <w:lang w:eastAsia="zh-CN"/>
        </w:rPr>
      </w:pPr>
      <w:r>
        <w:rPr>
          <w:lang w:eastAsia="zh-CN"/>
        </w:rPr>
        <w:t xml:space="preserve">3. </w:t>
      </w:r>
      <w:r>
        <w:rPr>
          <w:lang w:eastAsia="zh-CN"/>
        </w:rPr>
        <w:t>不同创新能力的并购组合的并购业绩比较</w:t>
      </w:r>
    </w:p>
    <w:p w14:paraId="5BC0C54E" w14:textId="77777777" w:rsidR="00B64398" w:rsidRDefault="0043712D">
      <w:pPr>
        <w:pStyle w:val="Heading3"/>
        <w:rPr>
          <w:lang w:eastAsia="zh-CN"/>
        </w:rPr>
      </w:pPr>
      <w:bookmarkStart w:id="14" w:name="目标方创新能力对并购业绩的影响"/>
      <w:r>
        <w:rPr>
          <w:lang w:eastAsia="zh-CN"/>
        </w:rPr>
        <w:lastRenderedPageBreak/>
        <w:t>目标方创新能力对并购业绩的影响</w:t>
      </w:r>
      <w:bookmarkEnd w:id="14"/>
    </w:p>
    <w:p w14:paraId="0D5E2538" w14:textId="77777777" w:rsidR="00B64398" w:rsidRDefault="0043712D" w:rsidP="00F24C5D">
      <w:pPr>
        <w:pStyle w:val="CaptionedFigure"/>
        <w:jc w:val="center"/>
      </w:pPr>
      <w:r>
        <w:rPr>
          <w:noProof/>
        </w:rPr>
        <w:drawing>
          <wp:inline distT="0" distB="0" distL="0" distR="0" wp14:anchorId="6C2CEA1D" wp14:editId="121E3EB8">
            <wp:extent cx="5334000" cy="2434455"/>
            <wp:effectExtent l="0" t="0" r="0" b="0"/>
            <wp:docPr id="1" name="Picture" descr="CAR(-10,10)"/>
            <wp:cNvGraphicFramePr/>
            <a:graphic xmlns:a="http://schemas.openxmlformats.org/drawingml/2006/main">
              <a:graphicData uri="http://schemas.openxmlformats.org/drawingml/2006/picture">
                <pic:pic xmlns:pic="http://schemas.openxmlformats.org/drawingml/2006/picture">
                  <pic:nvPicPr>
                    <pic:cNvPr id="0" name="Picture" descr="ZhangXueyong2017/img/CAR(-10,10).png"/>
                    <pic:cNvPicPr>
                      <a:picLocks noChangeAspect="1" noChangeArrowheads="1"/>
                    </pic:cNvPicPr>
                  </pic:nvPicPr>
                  <pic:blipFill>
                    <a:blip r:embed="rId7"/>
                    <a:stretch>
                      <a:fillRect/>
                    </a:stretch>
                  </pic:blipFill>
                  <pic:spPr bwMode="auto">
                    <a:xfrm>
                      <a:off x="0" y="0"/>
                      <a:ext cx="5334000" cy="2434455"/>
                    </a:xfrm>
                    <a:prstGeom prst="rect">
                      <a:avLst/>
                    </a:prstGeom>
                    <a:noFill/>
                    <a:ln w="9525">
                      <a:noFill/>
                      <a:headEnd/>
                      <a:tailEnd/>
                    </a:ln>
                  </pic:spPr>
                </pic:pic>
              </a:graphicData>
            </a:graphic>
          </wp:inline>
        </w:drawing>
      </w:r>
    </w:p>
    <w:p w14:paraId="6FC68DB0" w14:textId="77777777" w:rsidR="00B64398" w:rsidRPr="00F24C5D" w:rsidRDefault="0043712D" w:rsidP="00F24C5D">
      <w:pPr>
        <w:pStyle w:val="ImageCaption"/>
        <w:jc w:val="center"/>
        <w:rPr>
          <w:sz w:val="22"/>
        </w:rPr>
      </w:pPr>
      <w:proofErr w:type="gramStart"/>
      <w:r w:rsidRPr="00F24C5D">
        <w:rPr>
          <w:sz w:val="22"/>
        </w:rPr>
        <w:t>CAR(</w:t>
      </w:r>
      <w:proofErr w:type="gramEnd"/>
      <w:r w:rsidRPr="00F24C5D">
        <w:rPr>
          <w:sz w:val="22"/>
        </w:rPr>
        <w:t>-10,10)</w:t>
      </w:r>
    </w:p>
    <w:p w14:paraId="2F36898E" w14:textId="77777777" w:rsidR="00B64398" w:rsidRDefault="0043712D" w:rsidP="00F24C5D">
      <w:pPr>
        <w:pStyle w:val="CaptionedFigure"/>
        <w:jc w:val="center"/>
      </w:pPr>
      <w:r>
        <w:rPr>
          <w:noProof/>
        </w:rPr>
        <w:drawing>
          <wp:inline distT="0" distB="0" distL="0" distR="0" wp14:anchorId="2D58C6C7" wp14:editId="41CE8108">
            <wp:extent cx="5334000" cy="2836450"/>
            <wp:effectExtent l="0" t="0" r="0" b="0"/>
            <wp:docPr id="2" name="Picture" descr="BHAR"/>
            <wp:cNvGraphicFramePr/>
            <a:graphic xmlns:a="http://schemas.openxmlformats.org/drawingml/2006/main">
              <a:graphicData uri="http://schemas.openxmlformats.org/drawingml/2006/picture">
                <pic:pic xmlns:pic="http://schemas.openxmlformats.org/drawingml/2006/picture">
                  <pic:nvPicPr>
                    <pic:cNvPr id="0" name="Picture" descr="ZhangXueyong2017/img/BHAR.png"/>
                    <pic:cNvPicPr>
                      <a:picLocks noChangeAspect="1" noChangeArrowheads="1"/>
                    </pic:cNvPicPr>
                  </pic:nvPicPr>
                  <pic:blipFill>
                    <a:blip r:embed="rId8"/>
                    <a:stretch>
                      <a:fillRect/>
                    </a:stretch>
                  </pic:blipFill>
                  <pic:spPr bwMode="auto">
                    <a:xfrm>
                      <a:off x="0" y="0"/>
                      <a:ext cx="5334000" cy="2836450"/>
                    </a:xfrm>
                    <a:prstGeom prst="rect">
                      <a:avLst/>
                    </a:prstGeom>
                    <a:noFill/>
                    <a:ln w="9525">
                      <a:noFill/>
                      <a:headEnd/>
                      <a:tailEnd/>
                    </a:ln>
                  </pic:spPr>
                </pic:pic>
              </a:graphicData>
            </a:graphic>
          </wp:inline>
        </w:drawing>
      </w:r>
    </w:p>
    <w:p w14:paraId="5A47E6B9" w14:textId="77777777" w:rsidR="00B64398" w:rsidRPr="00F24C5D" w:rsidRDefault="0043712D" w:rsidP="00F24C5D">
      <w:pPr>
        <w:pStyle w:val="ImageCaption"/>
        <w:jc w:val="center"/>
        <w:rPr>
          <w:sz w:val="22"/>
          <w:lang w:eastAsia="zh-CN"/>
        </w:rPr>
      </w:pPr>
      <w:r w:rsidRPr="00F24C5D">
        <w:rPr>
          <w:sz w:val="22"/>
          <w:lang w:eastAsia="zh-CN"/>
        </w:rPr>
        <w:t>BHAR</w:t>
      </w:r>
    </w:p>
    <w:p w14:paraId="136B34C1" w14:textId="77777777" w:rsidR="00B64398" w:rsidRDefault="0043712D">
      <w:pPr>
        <w:pStyle w:val="BodyText"/>
        <w:rPr>
          <w:lang w:eastAsia="zh-CN"/>
        </w:rPr>
      </w:pPr>
      <w:r>
        <w:rPr>
          <w:lang w:eastAsia="zh-CN"/>
        </w:rPr>
        <w:t>以上是并购事件的短期和长期异常收益率走势，直观来看不论在短期还是长期，上市公司并购有专利的目标方其市场表现均好于并购无专利的目标方。</w:t>
      </w:r>
    </w:p>
    <w:p w14:paraId="12D39906" w14:textId="77777777" w:rsidR="00B64398" w:rsidRDefault="0043712D">
      <w:pPr>
        <w:pStyle w:val="BodyText"/>
        <w:rPr>
          <w:lang w:eastAsia="zh-CN"/>
        </w:rPr>
      </w:pPr>
      <w:r>
        <w:rPr>
          <w:b/>
          <w:lang w:eastAsia="zh-CN"/>
        </w:rPr>
        <w:t>事件研究</w:t>
      </w:r>
      <w:r>
        <w:rPr>
          <w:lang w:eastAsia="zh-CN"/>
        </w:rPr>
        <w:t>t</w:t>
      </w:r>
      <w:r>
        <w:rPr>
          <w:lang w:eastAsia="zh-CN"/>
        </w:rPr>
        <w:t>检验的结果证实了相较于并购非创新性企业，并购创新性企业的上市公司可获得显著更高的短期和长期的市场表现。</w:t>
      </w:r>
    </w:p>
    <w:p w14:paraId="5AA2248A" w14:textId="77777777" w:rsidR="00B64398" w:rsidRDefault="0043712D" w:rsidP="00F24C5D">
      <w:pPr>
        <w:pStyle w:val="CaptionedFigure"/>
        <w:jc w:val="center"/>
      </w:pPr>
      <w:r>
        <w:rPr>
          <w:noProof/>
        </w:rPr>
        <w:lastRenderedPageBreak/>
        <w:drawing>
          <wp:inline distT="0" distB="0" distL="0" distR="0" wp14:anchorId="2A38E759" wp14:editId="64101A32">
            <wp:extent cx="5334000" cy="3199319"/>
            <wp:effectExtent l="0" t="0" r="0" b="0"/>
            <wp:docPr id="3" name="Picture" descr="目标方有无专利对并购方长、短期并购业绩影响的t检验"/>
            <wp:cNvGraphicFramePr/>
            <a:graphic xmlns:a="http://schemas.openxmlformats.org/drawingml/2006/main">
              <a:graphicData uri="http://schemas.openxmlformats.org/drawingml/2006/picture">
                <pic:pic xmlns:pic="http://schemas.openxmlformats.org/drawingml/2006/picture">
                  <pic:nvPicPr>
                    <pic:cNvPr id="0" name="Picture" descr="ZhangXueyong2017/img/目标方有无专利对并购方长、短期并购业绩影响的T检验.png"/>
                    <pic:cNvPicPr>
                      <a:picLocks noChangeAspect="1" noChangeArrowheads="1"/>
                    </pic:cNvPicPr>
                  </pic:nvPicPr>
                  <pic:blipFill>
                    <a:blip r:embed="rId9"/>
                    <a:stretch>
                      <a:fillRect/>
                    </a:stretch>
                  </pic:blipFill>
                  <pic:spPr bwMode="auto">
                    <a:xfrm>
                      <a:off x="0" y="0"/>
                      <a:ext cx="5334000" cy="3199319"/>
                    </a:xfrm>
                    <a:prstGeom prst="rect">
                      <a:avLst/>
                    </a:prstGeom>
                    <a:noFill/>
                    <a:ln w="9525">
                      <a:noFill/>
                      <a:headEnd/>
                      <a:tailEnd/>
                    </a:ln>
                  </pic:spPr>
                </pic:pic>
              </a:graphicData>
            </a:graphic>
          </wp:inline>
        </w:drawing>
      </w:r>
    </w:p>
    <w:p w14:paraId="2BD35F8B" w14:textId="77777777" w:rsidR="00B64398" w:rsidRDefault="0043712D">
      <w:pPr>
        <w:pStyle w:val="BodyText"/>
        <w:rPr>
          <w:lang w:eastAsia="zh-CN"/>
        </w:rPr>
      </w:pPr>
      <w:r>
        <w:rPr>
          <w:lang w:eastAsia="zh-CN"/>
        </w:rPr>
        <w:t>接下来的</w:t>
      </w:r>
      <w:r>
        <w:rPr>
          <w:b/>
          <w:lang w:eastAsia="zh-CN"/>
        </w:rPr>
        <w:t>日历时间组合法</w:t>
      </w:r>
      <w:r>
        <w:rPr>
          <w:lang w:eastAsia="zh-CN"/>
        </w:rPr>
        <w:t>结果说明在并购发生后的三年间，并购有专利目标方的上市公司其收益率显著高于并购无专利的目标公司约</w:t>
      </w:r>
      <w:r>
        <w:rPr>
          <w:lang w:eastAsia="zh-CN"/>
        </w:rPr>
        <w:t>0.3</w:t>
      </w:r>
      <w:r>
        <w:rPr>
          <w:lang w:eastAsia="zh-CN"/>
        </w:rPr>
        <w:t>个百分点，即上市公司并购创新性企业的并购业绩显著更高。这与事件分析法的结论一致。</w:t>
      </w:r>
    </w:p>
    <w:p w14:paraId="67051982" w14:textId="77777777" w:rsidR="00B64398" w:rsidRDefault="0043712D" w:rsidP="00F24C5D">
      <w:pPr>
        <w:pStyle w:val="CaptionedFigure"/>
        <w:jc w:val="center"/>
      </w:pPr>
      <w:r>
        <w:rPr>
          <w:noProof/>
        </w:rPr>
        <w:drawing>
          <wp:inline distT="0" distB="0" distL="0" distR="0" wp14:anchorId="58C9DA56" wp14:editId="52C9FDD7">
            <wp:extent cx="5334000" cy="3659733"/>
            <wp:effectExtent l="0" t="0" r="0" b="0"/>
            <wp:docPr id="4" name="Picture" descr="日历时间组合法下并购创新性企业的长期市场表现"/>
            <wp:cNvGraphicFramePr/>
            <a:graphic xmlns:a="http://schemas.openxmlformats.org/drawingml/2006/main">
              <a:graphicData uri="http://schemas.openxmlformats.org/drawingml/2006/picture">
                <pic:pic xmlns:pic="http://schemas.openxmlformats.org/drawingml/2006/picture">
                  <pic:nvPicPr>
                    <pic:cNvPr id="0" name="Picture" descr="ZhangXueyong2017/img/日历时间组合法下并购创新性企业的长期市场表现.png"/>
                    <pic:cNvPicPr>
                      <a:picLocks noChangeAspect="1" noChangeArrowheads="1"/>
                    </pic:cNvPicPr>
                  </pic:nvPicPr>
                  <pic:blipFill>
                    <a:blip r:embed="rId10"/>
                    <a:stretch>
                      <a:fillRect/>
                    </a:stretch>
                  </pic:blipFill>
                  <pic:spPr bwMode="auto">
                    <a:xfrm>
                      <a:off x="0" y="0"/>
                      <a:ext cx="5334000" cy="3659733"/>
                    </a:xfrm>
                    <a:prstGeom prst="rect">
                      <a:avLst/>
                    </a:prstGeom>
                    <a:noFill/>
                    <a:ln w="9525">
                      <a:noFill/>
                      <a:headEnd/>
                      <a:tailEnd/>
                    </a:ln>
                  </pic:spPr>
                </pic:pic>
              </a:graphicData>
            </a:graphic>
          </wp:inline>
        </w:drawing>
      </w:r>
    </w:p>
    <w:p w14:paraId="10073E2B" w14:textId="77777777" w:rsidR="00B64398" w:rsidRDefault="0043712D">
      <w:pPr>
        <w:pStyle w:val="BodyText"/>
        <w:rPr>
          <w:lang w:eastAsia="zh-CN"/>
        </w:rPr>
      </w:pPr>
      <w:r>
        <w:rPr>
          <w:lang w:eastAsia="zh-CN"/>
        </w:rPr>
        <w:t>最后，为保证结果的稳健性，文章进一步通过多元回归模型得出结论：</w:t>
      </w:r>
      <w:r>
        <w:rPr>
          <w:b/>
          <w:lang w:eastAsia="zh-CN"/>
        </w:rPr>
        <w:t>相对于并购非创新性公司，那些并购创新性公司的并购方股票的长、短期收益均表现较好。</w:t>
      </w:r>
    </w:p>
    <w:p w14:paraId="00E8C1CE" w14:textId="77777777" w:rsidR="00B64398" w:rsidRDefault="0043712D" w:rsidP="00F24C5D">
      <w:pPr>
        <w:pStyle w:val="CaptionedFigure"/>
        <w:jc w:val="center"/>
      </w:pPr>
      <w:r>
        <w:rPr>
          <w:noProof/>
        </w:rPr>
        <w:lastRenderedPageBreak/>
        <w:drawing>
          <wp:inline distT="0" distB="0" distL="0" distR="0" wp14:anchorId="2A1C10D3" wp14:editId="11BE41D3">
            <wp:extent cx="5334000" cy="3688534"/>
            <wp:effectExtent l="0" t="0" r="0" b="0"/>
            <wp:docPr id="5" name="Picture" descr="目标方的创新能力对并购方长、短期并购业绩的影响"/>
            <wp:cNvGraphicFramePr/>
            <a:graphic xmlns:a="http://schemas.openxmlformats.org/drawingml/2006/main">
              <a:graphicData uri="http://schemas.openxmlformats.org/drawingml/2006/picture">
                <pic:pic xmlns:pic="http://schemas.openxmlformats.org/drawingml/2006/picture">
                  <pic:nvPicPr>
                    <pic:cNvPr id="0" name="Picture" descr="ZhangXueyong2017/img/目标方的创新能力对并购方长、短期并购业绩的影响.png"/>
                    <pic:cNvPicPr>
                      <a:picLocks noChangeAspect="1" noChangeArrowheads="1"/>
                    </pic:cNvPicPr>
                  </pic:nvPicPr>
                  <pic:blipFill>
                    <a:blip r:embed="rId11"/>
                    <a:stretch>
                      <a:fillRect/>
                    </a:stretch>
                  </pic:blipFill>
                  <pic:spPr bwMode="auto">
                    <a:xfrm>
                      <a:off x="0" y="0"/>
                      <a:ext cx="5334000" cy="3688534"/>
                    </a:xfrm>
                    <a:prstGeom prst="rect">
                      <a:avLst/>
                    </a:prstGeom>
                    <a:noFill/>
                    <a:ln w="9525">
                      <a:noFill/>
                      <a:headEnd/>
                      <a:tailEnd/>
                    </a:ln>
                  </pic:spPr>
                </pic:pic>
              </a:graphicData>
            </a:graphic>
          </wp:inline>
        </w:drawing>
      </w:r>
    </w:p>
    <w:p w14:paraId="7CD2AD5F" w14:textId="77777777" w:rsidR="00B64398" w:rsidRDefault="0043712D" w:rsidP="00F24C5D">
      <w:pPr>
        <w:pStyle w:val="CaptionedFigure"/>
        <w:jc w:val="center"/>
      </w:pPr>
      <w:r>
        <w:rPr>
          <w:noProof/>
        </w:rPr>
        <w:drawing>
          <wp:inline distT="0" distB="0" distL="0" distR="0" wp14:anchorId="4AF006F4" wp14:editId="7547AD88">
            <wp:extent cx="5334000" cy="2295723"/>
            <wp:effectExtent l="0" t="0" r="0" b="0"/>
            <wp:docPr id="6" name="Picture" descr="目标方的创新能力对并购方长、短期并购业绩的影响续表"/>
            <wp:cNvGraphicFramePr/>
            <a:graphic xmlns:a="http://schemas.openxmlformats.org/drawingml/2006/main">
              <a:graphicData uri="http://schemas.openxmlformats.org/drawingml/2006/picture">
                <pic:pic xmlns:pic="http://schemas.openxmlformats.org/drawingml/2006/picture">
                  <pic:nvPicPr>
                    <pic:cNvPr id="0" name="Picture" descr="ZhangXueyong2017/img/目标方的创新能力对并购方长、短期并购业绩的影响续表.png"/>
                    <pic:cNvPicPr>
                      <a:picLocks noChangeAspect="1" noChangeArrowheads="1"/>
                    </pic:cNvPicPr>
                  </pic:nvPicPr>
                  <pic:blipFill>
                    <a:blip r:embed="rId12"/>
                    <a:stretch>
                      <a:fillRect/>
                    </a:stretch>
                  </pic:blipFill>
                  <pic:spPr bwMode="auto">
                    <a:xfrm>
                      <a:off x="0" y="0"/>
                      <a:ext cx="5334000" cy="2295723"/>
                    </a:xfrm>
                    <a:prstGeom prst="rect">
                      <a:avLst/>
                    </a:prstGeom>
                    <a:noFill/>
                    <a:ln w="9525">
                      <a:noFill/>
                      <a:headEnd/>
                      <a:tailEnd/>
                    </a:ln>
                  </pic:spPr>
                </pic:pic>
              </a:graphicData>
            </a:graphic>
          </wp:inline>
        </w:drawing>
      </w:r>
    </w:p>
    <w:p w14:paraId="1CD8A213" w14:textId="77777777" w:rsidR="00B64398" w:rsidRDefault="0043712D">
      <w:pPr>
        <w:pStyle w:val="Heading3"/>
        <w:rPr>
          <w:lang w:eastAsia="zh-CN"/>
        </w:rPr>
      </w:pPr>
      <w:bookmarkStart w:id="15" w:name="并购方的创新能力对并购业绩的影响"/>
      <w:r>
        <w:rPr>
          <w:lang w:eastAsia="zh-CN"/>
        </w:rPr>
        <w:t>并购方的创新能力对并购业绩的影响</w:t>
      </w:r>
      <w:bookmarkEnd w:id="15"/>
    </w:p>
    <w:p w14:paraId="3DCE7AD5" w14:textId="77777777" w:rsidR="00B64398" w:rsidRDefault="0043712D">
      <w:pPr>
        <w:pStyle w:val="FirstParagraph"/>
        <w:rPr>
          <w:lang w:eastAsia="zh-CN"/>
        </w:rPr>
      </w:pPr>
      <w:r>
        <w:rPr>
          <w:lang w:eastAsia="zh-CN"/>
        </w:rPr>
        <w:t>并购可以使企业在较短时间内获得目标公司的专有技术和专利权，从而提升自身的技术能力与研发水平。但长期来看实现创新协同效应才是获得更高并购业绩的内在原因</w:t>
      </w:r>
      <w:r>
        <w:rPr>
          <w:lang w:eastAsia="zh-CN"/>
        </w:rPr>
        <w:t>(Ang and Wu</w:t>
      </w:r>
      <w:r>
        <w:rPr>
          <w:lang w:eastAsia="zh-CN"/>
        </w:rPr>
        <w:t>，</w:t>
      </w:r>
      <w:r>
        <w:rPr>
          <w:lang w:eastAsia="zh-CN"/>
        </w:rPr>
        <w:t>2011</w:t>
      </w:r>
      <w:r>
        <w:rPr>
          <w:lang w:eastAsia="zh-CN"/>
        </w:rPr>
        <w:t>)</w:t>
      </w:r>
      <w:r>
        <w:rPr>
          <w:lang w:eastAsia="zh-CN"/>
        </w:rPr>
        <w:t>。然而实现创新协同效应需要并购方完成认知、吸收和应用目标方专有技术等一系列过程</w:t>
      </w:r>
      <w:r>
        <w:rPr>
          <w:lang w:eastAsia="zh-CN"/>
        </w:rPr>
        <w:t>(Cohen and Levinthal</w:t>
      </w:r>
      <w:r>
        <w:rPr>
          <w:lang w:eastAsia="zh-CN"/>
        </w:rPr>
        <w:t>，</w:t>
      </w:r>
      <w:r>
        <w:rPr>
          <w:lang w:eastAsia="zh-CN"/>
        </w:rPr>
        <w:t>1990)</w:t>
      </w:r>
      <w:r>
        <w:rPr>
          <w:lang w:eastAsia="zh-CN"/>
        </w:rPr>
        <w:t>。如果并购方创新能力较弱将难以完成以上过程从而导致未来创新产出的下降</w:t>
      </w:r>
      <w:r>
        <w:rPr>
          <w:lang w:eastAsia="zh-CN"/>
        </w:rPr>
        <w:t>( Ahuja and Katila</w:t>
      </w:r>
      <w:r>
        <w:rPr>
          <w:lang w:eastAsia="zh-CN"/>
        </w:rPr>
        <w:t>，</w:t>
      </w:r>
      <w:r>
        <w:rPr>
          <w:lang w:eastAsia="zh-CN"/>
        </w:rPr>
        <w:t xml:space="preserve">2001; </w:t>
      </w:r>
      <w:proofErr w:type="spellStart"/>
      <w:r>
        <w:rPr>
          <w:lang w:eastAsia="zh-CN"/>
        </w:rPr>
        <w:t>Cloodt</w:t>
      </w:r>
      <w:proofErr w:type="spellEnd"/>
      <w:r>
        <w:rPr>
          <w:lang w:eastAsia="zh-CN"/>
        </w:rPr>
        <w:t xml:space="preserve"> et al</w:t>
      </w:r>
      <w:r>
        <w:rPr>
          <w:lang w:eastAsia="zh-CN"/>
        </w:rPr>
        <w:t>．，</w:t>
      </w:r>
      <w:r>
        <w:rPr>
          <w:lang w:eastAsia="zh-CN"/>
        </w:rPr>
        <w:t>2006)</w:t>
      </w:r>
      <w:r>
        <w:rPr>
          <w:lang w:eastAsia="zh-CN"/>
        </w:rPr>
        <w:t>，因此实现创新协同效应，并购方创新能力是关键。不过，</w:t>
      </w:r>
      <w:r>
        <w:rPr>
          <w:b/>
          <w:lang w:eastAsia="zh-CN"/>
        </w:rPr>
        <w:t>协同效应的产生应该需要较长的时间，并非短期内就可以实现。</w:t>
      </w:r>
    </w:p>
    <w:p w14:paraId="354B259B" w14:textId="77777777" w:rsidR="00B64398" w:rsidRDefault="0043712D" w:rsidP="00F24C5D">
      <w:pPr>
        <w:pStyle w:val="CaptionedFigure"/>
        <w:jc w:val="center"/>
      </w:pPr>
      <w:r>
        <w:rPr>
          <w:noProof/>
        </w:rPr>
        <w:lastRenderedPageBreak/>
        <w:drawing>
          <wp:inline distT="0" distB="0" distL="0" distR="0" wp14:anchorId="59D93403" wp14:editId="7CAD4FCC">
            <wp:extent cx="5334000" cy="1870283"/>
            <wp:effectExtent l="0" t="0" r="0" b="0"/>
            <wp:docPr id="7" name="Picture" descr="并购方有无专利对长、短期并购业绩的影响(T检验)"/>
            <wp:cNvGraphicFramePr/>
            <a:graphic xmlns:a="http://schemas.openxmlformats.org/drawingml/2006/main">
              <a:graphicData uri="http://schemas.openxmlformats.org/drawingml/2006/picture">
                <pic:pic xmlns:pic="http://schemas.openxmlformats.org/drawingml/2006/picture">
                  <pic:nvPicPr>
                    <pic:cNvPr id="0" name="Picture" descr="ZhangXueyong2017/img/并购方有无专利对长、短期并购业绩的影响(T检验).png"/>
                    <pic:cNvPicPr>
                      <a:picLocks noChangeAspect="1" noChangeArrowheads="1"/>
                    </pic:cNvPicPr>
                  </pic:nvPicPr>
                  <pic:blipFill>
                    <a:blip r:embed="rId13"/>
                    <a:stretch>
                      <a:fillRect/>
                    </a:stretch>
                  </pic:blipFill>
                  <pic:spPr bwMode="auto">
                    <a:xfrm>
                      <a:off x="0" y="0"/>
                      <a:ext cx="5334000" cy="1870283"/>
                    </a:xfrm>
                    <a:prstGeom prst="rect">
                      <a:avLst/>
                    </a:prstGeom>
                    <a:noFill/>
                    <a:ln w="9525">
                      <a:noFill/>
                      <a:headEnd/>
                      <a:tailEnd/>
                    </a:ln>
                  </pic:spPr>
                </pic:pic>
              </a:graphicData>
            </a:graphic>
          </wp:inline>
        </w:drawing>
      </w:r>
    </w:p>
    <w:p w14:paraId="3D858ADA" w14:textId="77777777" w:rsidR="00B64398" w:rsidRDefault="0043712D" w:rsidP="00F24C5D">
      <w:pPr>
        <w:pStyle w:val="CaptionedFigure"/>
        <w:jc w:val="center"/>
      </w:pPr>
      <w:r>
        <w:rPr>
          <w:noProof/>
        </w:rPr>
        <w:drawing>
          <wp:inline distT="0" distB="0" distL="0" distR="0" wp14:anchorId="1FDB36DA" wp14:editId="37D418D8">
            <wp:extent cx="5334000" cy="1788422"/>
            <wp:effectExtent l="0" t="0" r="0" b="0"/>
            <wp:docPr id="8" name="Picture" descr="并购方有无专利对长、短期并购业绩的影响(T检验)续表"/>
            <wp:cNvGraphicFramePr/>
            <a:graphic xmlns:a="http://schemas.openxmlformats.org/drawingml/2006/main">
              <a:graphicData uri="http://schemas.openxmlformats.org/drawingml/2006/picture">
                <pic:pic xmlns:pic="http://schemas.openxmlformats.org/drawingml/2006/picture">
                  <pic:nvPicPr>
                    <pic:cNvPr id="0" name="Picture" descr="ZhangXueyong2017/img/并购方有无专利对长、短期并购业绩的影响(T检验)续表.png"/>
                    <pic:cNvPicPr>
                      <a:picLocks noChangeAspect="1" noChangeArrowheads="1"/>
                    </pic:cNvPicPr>
                  </pic:nvPicPr>
                  <pic:blipFill>
                    <a:blip r:embed="rId14"/>
                    <a:stretch>
                      <a:fillRect/>
                    </a:stretch>
                  </pic:blipFill>
                  <pic:spPr bwMode="auto">
                    <a:xfrm>
                      <a:off x="0" y="0"/>
                      <a:ext cx="5334000" cy="1788422"/>
                    </a:xfrm>
                    <a:prstGeom prst="rect">
                      <a:avLst/>
                    </a:prstGeom>
                    <a:noFill/>
                    <a:ln w="9525">
                      <a:noFill/>
                      <a:headEnd/>
                      <a:tailEnd/>
                    </a:ln>
                  </pic:spPr>
                </pic:pic>
              </a:graphicData>
            </a:graphic>
          </wp:inline>
        </w:drawing>
      </w:r>
    </w:p>
    <w:p w14:paraId="149B5244" w14:textId="77777777" w:rsidR="00B64398" w:rsidRDefault="0043712D">
      <w:pPr>
        <w:pStyle w:val="BodyText"/>
        <w:rPr>
          <w:lang w:eastAsia="zh-CN"/>
        </w:rPr>
      </w:pPr>
      <w:r>
        <w:rPr>
          <w:lang w:eastAsia="zh-CN"/>
        </w:rPr>
        <w:t>多元回归结果也支持上述结论。</w:t>
      </w:r>
    </w:p>
    <w:p w14:paraId="25AFC1E3" w14:textId="77777777" w:rsidR="00B64398" w:rsidRDefault="0043712D">
      <w:pPr>
        <w:pStyle w:val="Heading3"/>
        <w:rPr>
          <w:lang w:eastAsia="zh-CN"/>
        </w:rPr>
      </w:pPr>
      <w:bookmarkStart w:id="16" w:name="不同创新能力的并购组合的并购业绩比较"/>
      <w:r>
        <w:rPr>
          <w:lang w:eastAsia="zh-CN"/>
        </w:rPr>
        <w:t>不同创新能力的并购组合的并购业绩比较</w:t>
      </w:r>
      <w:bookmarkEnd w:id="16"/>
    </w:p>
    <w:p w14:paraId="62ADEA5E" w14:textId="77777777" w:rsidR="00B64398" w:rsidRDefault="0043712D">
      <w:pPr>
        <w:pStyle w:val="FirstParagraph"/>
        <w:rPr>
          <w:lang w:eastAsia="zh-CN"/>
        </w:rPr>
      </w:pPr>
      <w:r>
        <w:rPr>
          <w:lang w:eastAsia="zh-CN"/>
        </w:rPr>
        <w:t>文章在目标方分组的基础上，进一步根据并购方在并购公告前是否申请专利，将整体样本事件分为四组</w:t>
      </w:r>
      <w:r>
        <w:rPr>
          <w:lang w:eastAsia="zh-CN"/>
        </w:rPr>
        <w:t>:</w:t>
      </w:r>
      <w:r>
        <w:rPr>
          <w:lang w:eastAsia="zh-CN"/>
        </w:rPr>
        <w:t>并购方无专利－目标方有专利</w:t>
      </w:r>
      <w:r>
        <w:rPr>
          <w:lang w:eastAsia="zh-CN"/>
        </w:rPr>
        <w:t>(NY)</w:t>
      </w:r>
      <w:r>
        <w:rPr>
          <w:lang w:eastAsia="zh-CN"/>
        </w:rPr>
        <w:t>、并购方有专利－目标方有专利</w:t>
      </w:r>
      <w:r>
        <w:rPr>
          <w:lang w:eastAsia="zh-CN"/>
        </w:rPr>
        <w:t>(YY)</w:t>
      </w:r>
      <w:r>
        <w:rPr>
          <w:lang w:eastAsia="zh-CN"/>
        </w:rPr>
        <w:t>、并购方无专利－目标方无专利</w:t>
      </w:r>
      <w:r>
        <w:rPr>
          <w:lang w:eastAsia="zh-CN"/>
        </w:rPr>
        <w:t>(NN)</w:t>
      </w:r>
      <w:r>
        <w:rPr>
          <w:lang w:eastAsia="zh-CN"/>
        </w:rPr>
        <w:t>、并购方有专利－目标方无专利</w:t>
      </w:r>
      <w:r>
        <w:rPr>
          <w:lang w:eastAsia="zh-CN"/>
        </w:rPr>
        <w:t>(YN)</w:t>
      </w:r>
      <w:r>
        <w:rPr>
          <w:lang w:eastAsia="zh-CN"/>
        </w:rPr>
        <w:t>。</w:t>
      </w:r>
    </w:p>
    <w:p w14:paraId="45050E3C" w14:textId="77777777" w:rsidR="00B64398" w:rsidRDefault="0043712D" w:rsidP="00F24C5D">
      <w:pPr>
        <w:pStyle w:val="CaptionedFigure"/>
        <w:jc w:val="center"/>
      </w:pPr>
      <w:r>
        <w:rPr>
          <w:noProof/>
        </w:rPr>
        <w:lastRenderedPageBreak/>
        <w:drawing>
          <wp:inline distT="0" distB="0" distL="0" distR="0" wp14:anchorId="5EC9F387" wp14:editId="049072D0">
            <wp:extent cx="5334000" cy="3955270"/>
            <wp:effectExtent l="0" t="0" r="0" b="0"/>
            <wp:docPr id="9" name="Picture" descr="不同创新能力的并购组合并购业绩的比较"/>
            <wp:cNvGraphicFramePr/>
            <a:graphic xmlns:a="http://schemas.openxmlformats.org/drawingml/2006/main">
              <a:graphicData uri="http://schemas.openxmlformats.org/drawingml/2006/picture">
                <pic:pic xmlns:pic="http://schemas.openxmlformats.org/drawingml/2006/picture">
                  <pic:nvPicPr>
                    <pic:cNvPr id="0" name="Picture" descr="ZhangXueyong2017/img/不同创新能力的并购组合并购业绩的比较.png"/>
                    <pic:cNvPicPr>
                      <a:picLocks noChangeAspect="1" noChangeArrowheads="1"/>
                    </pic:cNvPicPr>
                  </pic:nvPicPr>
                  <pic:blipFill>
                    <a:blip r:embed="rId15"/>
                    <a:stretch>
                      <a:fillRect/>
                    </a:stretch>
                  </pic:blipFill>
                  <pic:spPr bwMode="auto">
                    <a:xfrm>
                      <a:off x="0" y="0"/>
                      <a:ext cx="5334000" cy="3955270"/>
                    </a:xfrm>
                    <a:prstGeom prst="rect">
                      <a:avLst/>
                    </a:prstGeom>
                    <a:noFill/>
                    <a:ln w="9525">
                      <a:noFill/>
                      <a:headEnd/>
                      <a:tailEnd/>
                    </a:ln>
                  </pic:spPr>
                </pic:pic>
              </a:graphicData>
            </a:graphic>
          </wp:inline>
        </w:drawing>
      </w:r>
    </w:p>
    <w:p w14:paraId="0FD3464D" w14:textId="77777777" w:rsidR="00B64398" w:rsidRDefault="0043712D">
      <w:pPr>
        <w:pStyle w:val="BodyText"/>
        <w:rPr>
          <w:lang w:eastAsia="zh-CN"/>
        </w:rPr>
      </w:pPr>
      <w:r>
        <w:rPr>
          <w:lang w:eastAsia="zh-CN"/>
        </w:rPr>
        <w:t>从各组的统计数据上来看，，</w:t>
      </w:r>
      <w:r>
        <w:rPr>
          <w:lang w:eastAsia="zh-CN"/>
        </w:rPr>
        <w:t>NY</w:t>
      </w:r>
      <w:r>
        <w:rPr>
          <w:lang w:eastAsia="zh-CN"/>
        </w:rPr>
        <w:t>组合的并购方获得</w:t>
      </w:r>
      <w:r>
        <w:rPr>
          <w:lang w:eastAsia="zh-CN"/>
        </w:rPr>
        <w:t xml:space="preserve"> </w:t>
      </w:r>
      <w:r>
        <w:rPr>
          <w:lang w:eastAsia="zh-CN"/>
        </w:rPr>
        <w:t>最高的累积异常收益率，其次是</w:t>
      </w:r>
      <w:r>
        <w:rPr>
          <w:lang w:eastAsia="zh-CN"/>
        </w:rPr>
        <w:t>YY</w:t>
      </w:r>
      <w:r>
        <w:rPr>
          <w:lang w:eastAsia="zh-CN"/>
        </w:rPr>
        <w:t>组合，并购组合</w:t>
      </w:r>
      <w:r>
        <w:rPr>
          <w:lang w:eastAsia="zh-CN"/>
        </w:rPr>
        <w:t>NN</w:t>
      </w:r>
      <w:r>
        <w:rPr>
          <w:lang w:eastAsia="zh-CN"/>
        </w:rPr>
        <w:t>和</w:t>
      </w:r>
      <w:r>
        <w:rPr>
          <w:lang w:eastAsia="zh-CN"/>
        </w:rPr>
        <w:t>YN</w:t>
      </w:r>
      <w:r>
        <w:rPr>
          <w:lang w:eastAsia="zh-CN"/>
        </w:rPr>
        <w:t>的业绩</w:t>
      </w:r>
      <w:r>
        <w:rPr>
          <w:lang w:eastAsia="zh-CN"/>
        </w:rPr>
        <w:t>表现依次随后。而从长期业绩来看，根据表</w:t>
      </w:r>
      <w:r>
        <w:rPr>
          <w:lang w:eastAsia="zh-CN"/>
        </w:rPr>
        <w:t>7PanelB</w:t>
      </w:r>
      <w:r>
        <w:rPr>
          <w:lang w:eastAsia="zh-CN"/>
        </w:rPr>
        <w:t>，</w:t>
      </w:r>
      <w:r>
        <w:rPr>
          <w:lang w:eastAsia="zh-CN"/>
        </w:rPr>
        <w:t>YY</w:t>
      </w:r>
      <w:r>
        <w:rPr>
          <w:lang w:eastAsia="zh-CN"/>
        </w:rPr>
        <w:t>组合的长期市场表现最好，</w:t>
      </w:r>
      <w:r>
        <w:rPr>
          <w:lang w:eastAsia="zh-CN"/>
        </w:rPr>
        <w:t>BHAR(0</w:t>
      </w:r>
      <w:r>
        <w:rPr>
          <w:lang w:eastAsia="zh-CN"/>
        </w:rPr>
        <w:t>，</w:t>
      </w:r>
      <w:r>
        <w:rPr>
          <w:lang w:eastAsia="zh-CN"/>
        </w:rPr>
        <w:t>36)</w:t>
      </w:r>
      <w:r>
        <w:rPr>
          <w:lang w:eastAsia="zh-CN"/>
        </w:rPr>
        <w:t>为</w:t>
      </w:r>
      <w:r>
        <w:rPr>
          <w:lang w:eastAsia="zh-CN"/>
        </w:rPr>
        <w:t>17.24%</w:t>
      </w:r>
      <w:r>
        <w:rPr>
          <w:lang w:eastAsia="zh-CN"/>
        </w:rPr>
        <w:t>；</w:t>
      </w:r>
      <w:r>
        <w:rPr>
          <w:lang w:eastAsia="zh-CN"/>
        </w:rPr>
        <w:t>NY</w:t>
      </w:r>
      <w:r>
        <w:rPr>
          <w:lang w:eastAsia="zh-CN"/>
        </w:rPr>
        <w:t>并购组合其次，</w:t>
      </w:r>
      <w:r>
        <w:rPr>
          <w:lang w:eastAsia="zh-CN"/>
        </w:rPr>
        <w:t>BHAR(0</w:t>
      </w:r>
      <w:r>
        <w:rPr>
          <w:lang w:eastAsia="zh-CN"/>
        </w:rPr>
        <w:t>，</w:t>
      </w:r>
      <w:r>
        <w:rPr>
          <w:lang w:eastAsia="zh-CN"/>
        </w:rPr>
        <w:t>36)</w:t>
      </w:r>
      <w:r>
        <w:rPr>
          <w:lang w:eastAsia="zh-CN"/>
        </w:rPr>
        <w:t>为</w:t>
      </w:r>
      <w:r>
        <w:rPr>
          <w:lang w:eastAsia="zh-CN"/>
        </w:rPr>
        <w:t>10.01%</w:t>
      </w:r>
      <w:r>
        <w:rPr>
          <w:lang w:eastAsia="zh-CN"/>
        </w:rPr>
        <w:t>；</w:t>
      </w:r>
      <w:r>
        <w:rPr>
          <w:lang w:eastAsia="zh-CN"/>
        </w:rPr>
        <w:t>YN</w:t>
      </w:r>
      <w:r>
        <w:rPr>
          <w:lang w:eastAsia="zh-CN"/>
        </w:rPr>
        <w:t>组合和</w:t>
      </w:r>
      <w:r>
        <w:rPr>
          <w:lang w:eastAsia="zh-CN"/>
        </w:rPr>
        <w:t>NN</w:t>
      </w:r>
      <w:r>
        <w:rPr>
          <w:lang w:eastAsia="zh-CN"/>
        </w:rPr>
        <w:t>组合表现依次随后，</w:t>
      </w:r>
      <w:r>
        <w:rPr>
          <w:lang w:eastAsia="zh-CN"/>
        </w:rPr>
        <w:t>BHAR(0</w:t>
      </w:r>
      <w:r>
        <w:rPr>
          <w:lang w:eastAsia="zh-CN"/>
        </w:rPr>
        <w:t>，</w:t>
      </w:r>
      <w:r>
        <w:rPr>
          <w:lang w:eastAsia="zh-CN"/>
        </w:rPr>
        <w:t>36)</w:t>
      </w:r>
      <w:r>
        <w:rPr>
          <w:lang w:eastAsia="zh-CN"/>
        </w:rPr>
        <w:t>分别</w:t>
      </w:r>
      <w:r>
        <w:rPr>
          <w:lang w:eastAsia="zh-CN"/>
        </w:rPr>
        <w:t xml:space="preserve"> </w:t>
      </w:r>
      <w:r>
        <w:rPr>
          <w:lang w:eastAsia="zh-CN"/>
        </w:rPr>
        <w:t>为</w:t>
      </w:r>
      <w:r>
        <w:rPr>
          <w:lang w:eastAsia="zh-CN"/>
        </w:rPr>
        <w:t>1.14%</w:t>
      </w:r>
      <w:r>
        <w:rPr>
          <w:lang w:eastAsia="zh-CN"/>
        </w:rPr>
        <w:t>和－</w:t>
      </w:r>
      <w:r>
        <w:rPr>
          <w:lang w:eastAsia="zh-CN"/>
        </w:rPr>
        <w:t>2.04%</w:t>
      </w:r>
      <w:r>
        <w:rPr>
          <w:lang w:eastAsia="zh-CN"/>
        </w:rPr>
        <w:t>。在短期和长期并购绩效中，排名前二的并购组合均具有创新性的目标方这一特征，说明目标方具有创新能力是促进企业并购业绩的重要因素。而且在长</w:t>
      </w:r>
      <w:r>
        <w:rPr>
          <w:lang w:eastAsia="zh-CN"/>
        </w:rPr>
        <w:t xml:space="preserve"> </w:t>
      </w:r>
      <w:r>
        <w:rPr>
          <w:lang w:eastAsia="zh-CN"/>
        </w:rPr>
        <w:t>期表现中仅</w:t>
      </w:r>
      <w:r>
        <w:rPr>
          <w:lang w:eastAsia="zh-CN"/>
        </w:rPr>
        <w:t>YY</w:t>
      </w:r>
      <w:r>
        <w:rPr>
          <w:lang w:eastAsia="zh-CN"/>
        </w:rPr>
        <w:t>组合的并购业绩是统计显著的，表明并购双方均具有创新能力，才可以在长期中获得超额收益、产生创新协同效应。</w:t>
      </w:r>
    </w:p>
    <w:p w14:paraId="373CBA23" w14:textId="77777777" w:rsidR="00B64398" w:rsidRDefault="0043712D">
      <w:pPr>
        <w:pStyle w:val="BodyText"/>
        <w:rPr>
          <w:lang w:eastAsia="zh-CN"/>
        </w:rPr>
      </w:pPr>
      <w:r>
        <w:rPr>
          <w:lang w:eastAsia="zh-CN"/>
        </w:rPr>
        <w:t>接</w:t>
      </w:r>
      <w:r>
        <w:rPr>
          <w:lang w:eastAsia="zh-CN"/>
        </w:rPr>
        <w:t>下来文章进行了回归分析，选择</w:t>
      </w:r>
      <w:r>
        <w:rPr>
          <w:lang w:eastAsia="zh-CN"/>
        </w:rPr>
        <w:t>“</w:t>
      </w:r>
      <w:r>
        <w:rPr>
          <w:lang w:eastAsia="zh-CN"/>
        </w:rPr>
        <w:t>并购方有专利－目标方无专利</w:t>
      </w:r>
      <w:r>
        <w:rPr>
          <w:lang w:eastAsia="zh-CN"/>
        </w:rPr>
        <w:t>”</w:t>
      </w:r>
      <w:r>
        <w:rPr>
          <w:lang w:eastAsia="zh-CN"/>
        </w:rPr>
        <w:t>为基准组，对应表</w:t>
      </w:r>
      <w:r>
        <w:rPr>
          <w:lang w:eastAsia="zh-CN"/>
        </w:rPr>
        <w:t>7</w:t>
      </w:r>
      <w:r>
        <w:rPr>
          <w:lang w:eastAsia="zh-CN"/>
        </w:rPr>
        <w:t>中</w:t>
      </w:r>
      <w:r>
        <w:rPr>
          <w:lang w:eastAsia="zh-CN"/>
        </w:rPr>
        <w:t>YN</w:t>
      </w:r>
      <w:r>
        <w:rPr>
          <w:lang w:eastAsia="zh-CN"/>
        </w:rPr>
        <w:t>组合，同时设定三个虚拟变量</w:t>
      </w:r>
      <w:r>
        <w:rPr>
          <w:lang w:eastAsia="zh-CN"/>
        </w:rPr>
        <w:t>NY</w:t>
      </w:r>
      <w:r>
        <w:rPr>
          <w:lang w:eastAsia="zh-CN"/>
        </w:rPr>
        <w:t>、</w:t>
      </w:r>
      <w:r>
        <w:rPr>
          <w:lang w:eastAsia="zh-CN"/>
        </w:rPr>
        <w:t>YY</w:t>
      </w:r>
      <w:r>
        <w:rPr>
          <w:lang w:eastAsia="zh-CN"/>
        </w:rPr>
        <w:t>和</w:t>
      </w:r>
      <w:r>
        <w:rPr>
          <w:lang w:eastAsia="zh-CN"/>
        </w:rPr>
        <w:t>NN</w:t>
      </w:r>
      <w:r>
        <w:rPr>
          <w:lang w:eastAsia="zh-CN"/>
        </w:rPr>
        <w:t>。最后结果与之前的论述一致。因此，</w:t>
      </w:r>
      <w:r>
        <w:rPr>
          <w:b/>
          <w:lang w:eastAsia="zh-CN"/>
        </w:rPr>
        <w:t>目标方的创新能力是促进上市公司并购业绩的关键因素。而从长期来看，并购双方皆具有创新能力，有助于创新协同效应的产生，提升并购方的长期表现。</w:t>
      </w:r>
    </w:p>
    <w:p w14:paraId="2FBD931A" w14:textId="77777777" w:rsidR="00B64398" w:rsidRDefault="0043712D" w:rsidP="00F24C5D">
      <w:pPr>
        <w:pStyle w:val="CaptionedFigure"/>
        <w:jc w:val="center"/>
      </w:pPr>
      <w:r>
        <w:rPr>
          <w:noProof/>
        </w:rPr>
        <w:lastRenderedPageBreak/>
        <w:drawing>
          <wp:inline distT="0" distB="0" distL="0" distR="0" wp14:anchorId="34915733" wp14:editId="46CB1DDD">
            <wp:extent cx="5334000" cy="3853016"/>
            <wp:effectExtent l="0" t="0" r="0" b="0"/>
            <wp:docPr id="10" name="Picture" descr="不同创新能力的并购组合对并购业绩的影响"/>
            <wp:cNvGraphicFramePr/>
            <a:graphic xmlns:a="http://schemas.openxmlformats.org/drawingml/2006/main">
              <a:graphicData uri="http://schemas.openxmlformats.org/drawingml/2006/picture">
                <pic:pic xmlns:pic="http://schemas.openxmlformats.org/drawingml/2006/picture">
                  <pic:nvPicPr>
                    <pic:cNvPr id="0" name="Picture" descr="ZhangXueyong2017/img/不同创新能力的并购组合对并购业绩的影响.png"/>
                    <pic:cNvPicPr>
                      <a:picLocks noChangeAspect="1" noChangeArrowheads="1"/>
                    </pic:cNvPicPr>
                  </pic:nvPicPr>
                  <pic:blipFill>
                    <a:blip r:embed="rId16"/>
                    <a:stretch>
                      <a:fillRect/>
                    </a:stretch>
                  </pic:blipFill>
                  <pic:spPr bwMode="auto">
                    <a:xfrm>
                      <a:off x="0" y="0"/>
                      <a:ext cx="5334000" cy="3853016"/>
                    </a:xfrm>
                    <a:prstGeom prst="rect">
                      <a:avLst/>
                    </a:prstGeom>
                    <a:noFill/>
                    <a:ln w="9525">
                      <a:noFill/>
                      <a:headEnd/>
                      <a:tailEnd/>
                    </a:ln>
                  </pic:spPr>
                </pic:pic>
              </a:graphicData>
            </a:graphic>
          </wp:inline>
        </w:drawing>
      </w:r>
    </w:p>
    <w:p w14:paraId="0A84D498" w14:textId="77777777" w:rsidR="00B64398" w:rsidRDefault="0043712D" w:rsidP="00F24C5D">
      <w:pPr>
        <w:pStyle w:val="CaptionedFigure"/>
        <w:jc w:val="center"/>
      </w:pPr>
      <w:r>
        <w:rPr>
          <w:noProof/>
        </w:rPr>
        <w:drawing>
          <wp:inline distT="0" distB="0" distL="0" distR="0" wp14:anchorId="7945750F" wp14:editId="78A8AF1D">
            <wp:extent cx="5334000" cy="2093776"/>
            <wp:effectExtent l="0" t="0" r="0" b="0"/>
            <wp:docPr id="11" name="Picture" descr="不同创新能力的并购组合对并购业绩的影响续表"/>
            <wp:cNvGraphicFramePr/>
            <a:graphic xmlns:a="http://schemas.openxmlformats.org/drawingml/2006/main">
              <a:graphicData uri="http://schemas.openxmlformats.org/drawingml/2006/picture">
                <pic:pic xmlns:pic="http://schemas.openxmlformats.org/drawingml/2006/picture">
                  <pic:nvPicPr>
                    <pic:cNvPr id="0" name="Picture" descr="ZhangXueyong2017/img/不同创新能力的并购组合对并购业绩的影响续表.png"/>
                    <pic:cNvPicPr>
                      <a:picLocks noChangeAspect="1" noChangeArrowheads="1"/>
                    </pic:cNvPicPr>
                  </pic:nvPicPr>
                  <pic:blipFill>
                    <a:blip r:embed="rId17"/>
                    <a:stretch>
                      <a:fillRect/>
                    </a:stretch>
                  </pic:blipFill>
                  <pic:spPr bwMode="auto">
                    <a:xfrm>
                      <a:off x="0" y="0"/>
                      <a:ext cx="5334000" cy="2093776"/>
                    </a:xfrm>
                    <a:prstGeom prst="rect">
                      <a:avLst/>
                    </a:prstGeom>
                    <a:noFill/>
                    <a:ln w="9525">
                      <a:noFill/>
                      <a:headEnd/>
                      <a:tailEnd/>
                    </a:ln>
                  </pic:spPr>
                </pic:pic>
              </a:graphicData>
            </a:graphic>
          </wp:inline>
        </w:drawing>
      </w:r>
    </w:p>
    <w:p w14:paraId="37E45C22" w14:textId="77777777" w:rsidR="00B64398" w:rsidRDefault="0043712D">
      <w:pPr>
        <w:pStyle w:val="BodyText"/>
        <w:rPr>
          <w:lang w:eastAsia="zh-CN"/>
        </w:rPr>
      </w:pPr>
      <w:r>
        <w:rPr>
          <w:lang w:eastAsia="zh-CN"/>
        </w:rPr>
        <w:t>文章在不同创新能力的并购组合的并购业绩比较阶段得出的结论与前面几个阶段的结论一致。</w:t>
      </w:r>
    </w:p>
    <w:p w14:paraId="4EAF54C0" w14:textId="77777777" w:rsidR="00B64398" w:rsidRDefault="0043712D">
      <w:pPr>
        <w:pStyle w:val="Heading2"/>
        <w:rPr>
          <w:lang w:eastAsia="zh-CN"/>
        </w:rPr>
      </w:pPr>
      <w:bookmarkStart w:id="17" w:name="稳健性检验"/>
      <w:r>
        <w:rPr>
          <w:lang w:eastAsia="zh-CN"/>
        </w:rPr>
        <w:t>稳健性检验</w:t>
      </w:r>
      <w:bookmarkEnd w:id="17"/>
    </w:p>
    <w:p w14:paraId="3B9ACD89" w14:textId="77777777" w:rsidR="00AF4287" w:rsidRDefault="0043712D">
      <w:pPr>
        <w:pStyle w:val="FirstParagraph"/>
        <w:rPr>
          <w:lang w:eastAsia="zh-CN"/>
        </w:rPr>
      </w:pPr>
      <w:r>
        <w:rPr>
          <w:lang w:eastAsia="zh-CN"/>
        </w:rPr>
        <w:t>文章从三个角度进行了稳健性检</w:t>
      </w:r>
      <w:r>
        <w:rPr>
          <w:lang w:eastAsia="zh-CN"/>
        </w:rPr>
        <w:t>验。</w:t>
      </w:r>
      <w:r>
        <w:rPr>
          <w:lang w:eastAsia="zh-CN"/>
        </w:rPr>
        <w:t xml:space="preserve"> </w:t>
      </w:r>
    </w:p>
    <w:p w14:paraId="7229F461" w14:textId="77777777" w:rsidR="00AF4287" w:rsidRDefault="0043712D">
      <w:pPr>
        <w:pStyle w:val="FirstParagraph"/>
        <w:rPr>
          <w:lang w:eastAsia="zh-CN"/>
        </w:rPr>
      </w:pPr>
      <w:r>
        <w:rPr>
          <w:lang w:eastAsia="zh-CN"/>
        </w:rPr>
        <w:t>1. CARs</w:t>
      </w:r>
      <w:r>
        <w:rPr>
          <w:lang w:eastAsia="zh-CN"/>
        </w:rPr>
        <w:t>与</w:t>
      </w:r>
      <w:r>
        <w:rPr>
          <w:lang w:eastAsia="zh-CN"/>
        </w:rPr>
        <w:t>BHARs</w:t>
      </w:r>
      <w:r>
        <w:rPr>
          <w:lang w:eastAsia="zh-CN"/>
        </w:rPr>
        <w:t>计算的稳健性检验</w:t>
      </w:r>
      <w:r>
        <w:rPr>
          <w:lang w:eastAsia="zh-CN"/>
        </w:rPr>
        <w:t xml:space="preserve"> </w:t>
      </w:r>
    </w:p>
    <w:p w14:paraId="2E8F8795" w14:textId="77777777" w:rsidR="00AF4287" w:rsidRDefault="0043712D">
      <w:pPr>
        <w:pStyle w:val="FirstParagraph"/>
        <w:rPr>
          <w:lang w:eastAsia="zh-CN"/>
        </w:rPr>
      </w:pPr>
      <w:r>
        <w:rPr>
          <w:lang w:eastAsia="zh-CN"/>
        </w:rPr>
        <w:t xml:space="preserve">2. </w:t>
      </w:r>
      <w:r>
        <w:rPr>
          <w:lang w:eastAsia="zh-CN"/>
        </w:rPr>
        <w:t>创新变量的内生性问题</w:t>
      </w:r>
      <w:r>
        <w:rPr>
          <w:lang w:eastAsia="zh-CN"/>
        </w:rPr>
        <w:t xml:space="preserve"> </w:t>
      </w:r>
    </w:p>
    <w:p w14:paraId="37531FC5" w14:textId="4E9112EA" w:rsidR="00B64398" w:rsidRDefault="0043712D">
      <w:pPr>
        <w:pStyle w:val="FirstParagraph"/>
        <w:rPr>
          <w:lang w:eastAsia="zh-CN"/>
        </w:rPr>
      </w:pPr>
      <w:r>
        <w:rPr>
          <w:lang w:eastAsia="zh-CN"/>
        </w:rPr>
        <w:lastRenderedPageBreak/>
        <w:t xml:space="preserve">3. </w:t>
      </w:r>
      <w:r>
        <w:rPr>
          <w:lang w:eastAsia="zh-CN"/>
        </w:rPr>
        <w:t>创新能力对制造业上市公司并购业绩的影响</w:t>
      </w:r>
    </w:p>
    <w:p w14:paraId="0AF69020" w14:textId="77777777" w:rsidR="00B64398" w:rsidRDefault="0043712D">
      <w:pPr>
        <w:pStyle w:val="BodyText"/>
        <w:rPr>
          <w:lang w:eastAsia="zh-CN"/>
        </w:rPr>
      </w:pPr>
      <w:r>
        <w:rPr>
          <w:lang w:eastAsia="zh-CN"/>
        </w:rPr>
        <w:t>在稳健性检验中得出的结论仍然与文章主体结论一致。</w:t>
      </w:r>
    </w:p>
    <w:p w14:paraId="3003E103" w14:textId="77777777" w:rsidR="00B64398" w:rsidRDefault="0043712D">
      <w:pPr>
        <w:pStyle w:val="Heading2"/>
      </w:pPr>
      <w:bookmarkStart w:id="18" w:name="启发"/>
      <w:proofErr w:type="spellStart"/>
      <w:r>
        <w:t>启发</w:t>
      </w:r>
      <w:bookmarkEnd w:id="18"/>
      <w:proofErr w:type="spellEnd"/>
    </w:p>
    <w:p w14:paraId="1FDBEB36" w14:textId="77777777" w:rsidR="00B64398" w:rsidRDefault="0043712D">
      <w:pPr>
        <w:pStyle w:val="Compact"/>
        <w:numPr>
          <w:ilvl w:val="0"/>
          <w:numId w:val="7"/>
        </w:numPr>
        <w:rPr>
          <w:lang w:eastAsia="zh-CN"/>
        </w:rPr>
      </w:pPr>
      <w:r>
        <w:rPr>
          <w:lang w:eastAsia="zh-CN"/>
        </w:rPr>
        <w:t>这篇文章角度新颖。从专利角度分析公司并购，研究结果也易于理解。</w:t>
      </w:r>
    </w:p>
    <w:p w14:paraId="52DB3628" w14:textId="77777777" w:rsidR="00B64398" w:rsidRDefault="0043712D">
      <w:pPr>
        <w:pStyle w:val="Compact"/>
        <w:numPr>
          <w:ilvl w:val="0"/>
          <w:numId w:val="7"/>
        </w:numPr>
        <w:rPr>
          <w:lang w:eastAsia="zh-CN"/>
        </w:rPr>
      </w:pPr>
      <w:r>
        <w:rPr>
          <w:lang w:eastAsia="zh-CN"/>
        </w:rPr>
        <w:t>文章研究方法规范。从事件研究法到日历时间组合法再到多元回归分析，文章用多个方法检验了结论。</w:t>
      </w:r>
    </w:p>
    <w:p w14:paraId="3EB97792" w14:textId="77777777" w:rsidR="00B64398" w:rsidRDefault="0043712D">
      <w:pPr>
        <w:pStyle w:val="Compact"/>
        <w:numPr>
          <w:ilvl w:val="0"/>
          <w:numId w:val="7"/>
        </w:numPr>
        <w:rPr>
          <w:lang w:eastAsia="zh-CN"/>
        </w:rPr>
      </w:pPr>
      <w:r>
        <w:rPr>
          <w:lang w:eastAsia="zh-CN"/>
        </w:rPr>
        <w:t>稳健性检验。文章从多个可能出现偏差的角度进行了稳健性检验，使得结果很有说服力。</w:t>
      </w:r>
    </w:p>
    <w:sectPr w:rsidR="00B643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AE058" w14:textId="77777777" w:rsidR="0043712D" w:rsidRDefault="0043712D">
      <w:pPr>
        <w:spacing w:after="0"/>
      </w:pPr>
      <w:r>
        <w:separator/>
      </w:r>
    </w:p>
  </w:endnote>
  <w:endnote w:type="continuationSeparator" w:id="0">
    <w:p w14:paraId="71427D4F" w14:textId="77777777" w:rsidR="0043712D" w:rsidRDefault="004371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3812E" w14:textId="77777777" w:rsidR="0043712D" w:rsidRDefault="0043712D">
      <w:r>
        <w:separator/>
      </w:r>
    </w:p>
  </w:footnote>
  <w:footnote w:type="continuationSeparator" w:id="0">
    <w:p w14:paraId="03611E9C" w14:textId="77777777" w:rsidR="0043712D" w:rsidRDefault="0043712D">
      <w:r>
        <w:continuationSeparator/>
      </w:r>
    </w:p>
  </w:footnote>
  <w:footnote w:id="1">
    <w:p w14:paraId="318A1A6F" w14:textId="77777777" w:rsidR="00B64398" w:rsidRDefault="0043712D">
      <w:pPr>
        <w:pStyle w:val="FootnoteText"/>
        <w:rPr>
          <w:lang w:eastAsia="zh-CN"/>
        </w:rPr>
      </w:pPr>
      <w:r>
        <w:rPr>
          <w:rStyle w:val="FootnoteReference"/>
        </w:rPr>
        <w:footnoteRef/>
      </w:r>
      <w:r>
        <w:rPr>
          <w:lang w:eastAsia="zh-CN"/>
        </w:rPr>
        <w:t xml:space="preserve"> </w:t>
      </w:r>
      <w:r>
        <w:rPr>
          <w:lang w:eastAsia="zh-CN"/>
        </w:rPr>
        <w:t>邱金辉</w:t>
      </w:r>
      <w:r>
        <w:rPr>
          <w:lang w:eastAsia="zh-CN"/>
        </w:rPr>
        <w:t xml:space="preserve">. (2006). </w:t>
      </w:r>
      <w:r>
        <w:rPr>
          <w:lang w:eastAsia="zh-CN"/>
        </w:rPr>
        <w:t>我国企业并购理论研究现状分析</w:t>
      </w:r>
      <w:r>
        <w:rPr>
          <w:lang w:eastAsia="zh-CN"/>
        </w:rPr>
        <w:t xml:space="preserve">. </w:t>
      </w:r>
      <w:r>
        <w:rPr>
          <w:lang w:eastAsia="zh-CN"/>
        </w:rPr>
        <w:t>经济问题</w:t>
      </w:r>
      <w:r>
        <w:rPr>
          <w:lang w:eastAsia="zh-CN"/>
        </w:rPr>
        <w:t>, 7, 7–9.</w:t>
      </w:r>
    </w:p>
  </w:footnote>
  <w:footnote w:id="2">
    <w:p w14:paraId="1A24E2A0" w14:textId="77777777" w:rsidR="00B64398" w:rsidRDefault="0043712D">
      <w:pPr>
        <w:pStyle w:val="FootnoteText"/>
        <w:rPr>
          <w:lang w:eastAsia="zh-CN"/>
        </w:rPr>
      </w:pPr>
      <w:r>
        <w:rPr>
          <w:rStyle w:val="FootnoteReference"/>
        </w:rPr>
        <w:footnoteRef/>
      </w:r>
      <w:r>
        <w:rPr>
          <w:lang w:eastAsia="zh-CN"/>
        </w:rPr>
        <w:t xml:space="preserve"> </w:t>
      </w:r>
      <w:r>
        <w:rPr>
          <w:lang w:eastAsia="zh-CN"/>
        </w:rPr>
        <w:t>叶会</w:t>
      </w:r>
      <w:r>
        <w:rPr>
          <w:lang w:eastAsia="zh-CN"/>
        </w:rPr>
        <w:t xml:space="preserve">. (2008). </w:t>
      </w:r>
      <w:r>
        <w:rPr>
          <w:lang w:eastAsia="zh-CN"/>
        </w:rPr>
        <w:t>企业并购理论综述</w:t>
      </w:r>
      <w:r>
        <w:rPr>
          <w:lang w:eastAsia="zh-CN"/>
        </w:rPr>
        <w:t xml:space="preserve">. </w:t>
      </w:r>
      <w:r>
        <w:rPr>
          <w:lang w:eastAsia="zh-CN"/>
        </w:rPr>
        <w:t>广东金融学院学报</w:t>
      </w:r>
      <w:r>
        <w:rPr>
          <w:lang w:eastAsia="zh-CN"/>
        </w:rPr>
        <w:t>, 23, 115–128.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3D661A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828492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3A0F9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8042E90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3712D"/>
    <w:rsid w:val="004E29B3"/>
    <w:rsid w:val="00590D07"/>
    <w:rsid w:val="0061413B"/>
    <w:rsid w:val="00784D58"/>
    <w:rsid w:val="008724E2"/>
    <w:rsid w:val="008812D1"/>
    <w:rsid w:val="008B6333"/>
    <w:rsid w:val="008D6863"/>
    <w:rsid w:val="0090172D"/>
    <w:rsid w:val="00AD0AD7"/>
    <w:rsid w:val="00AF4287"/>
    <w:rsid w:val="00B573B0"/>
    <w:rsid w:val="00B64398"/>
    <w:rsid w:val="00B86B75"/>
    <w:rsid w:val="00BA784B"/>
    <w:rsid w:val="00BC48D5"/>
    <w:rsid w:val="00BF1E9F"/>
    <w:rsid w:val="00C14E4A"/>
    <w:rsid w:val="00C36279"/>
    <w:rsid w:val="00D478FF"/>
    <w:rsid w:val="00D90DFF"/>
    <w:rsid w:val="00E315A3"/>
    <w:rsid w:val="00E755CA"/>
    <w:rsid w:val="00F24C5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AC7331"/>
  <w15:docId w15:val="{6486F9F1-8181-C54F-BF7D-6F9BA84F4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BF1E9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BF1E9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701</Words>
  <Characters>3997</Characters>
  <Application>Microsoft Office Word</Application>
  <DocSecurity>0</DocSecurity>
  <Lines>33</Lines>
  <Paragraphs>9</Paragraphs>
  <ScaleCrop>false</ScaleCrop>
  <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Zhu Mike</cp:lastModifiedBy>
  <cp:revision>16</cp:revision>
  <dcterms:created xsi:type="dcterms:W3CDTF">2019-07-02T13:20:00Z</dcterms:created>
  <dcterms:modified xsi:type="dcterms:W3CDTF">2019-07-02T13:25:00Z</dcterms:modified>
</cp:coreProperties>
</file>