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3991060a020721d1e97231e2f887f06c7be9f0b"/>
      <w:r>
        <w:t xml:space="preserve">Autonomy delegation to foreign subsidiaries: An enabling mechanism for emerging-market multinationals</w:t>
      </w:r>
      <w:bookmarkEnd w:id="20"/>
    </w:p>
    <w:p>
      <w:pPr>
        <w:pStyle w:val="FirstParagraph"/>
      </w:pPr>
      <w:r>
        <w:t xml:space="preserve">(赋予外国子公司自治权：新兴市场跨国公司的授权机制)</w:t>
      </w:r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CaptionedFigure"/>
      </w:pPr>
      <w:r>
        <w:drawing>
          <wp:inline>
            <wp:extent cx="5334000" cy="2626712"/>
            <wp:effectExtent b="0" l="0" r="0" t="0"/>
            <wp:docPr descr="INTRODUCTION" title="" id="1" name="Picture"/>
            <a:graphic>
              <a:graphicData uri="http://schemas.openxmlformats.org/drawingml/2006/picture">
                <pic:pic>
                  <pic:nvPicPr>
                    <pic:cNvPr descr="SL_Wang2014/2020-09-22-12-13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INTRODUCTION</w:t>
      </w:r>
    </w:p>
    <w:p>
      <w:pPr>
        <w:pStyle w:val="BodyText"/>
      </w:pPr>
      <w:r>
        <w:t xml:space="preserve">The rise of emerging-market multinational enterprises (EMNEs) provides an ideal opportunity to complement a long line of research on the antecedents of</w:t>
      </w:r>
      <w:r>
        <w:t xml:space="preserve"> </w:t>
      </w:r>
      <w:r>
        <w:rPr>
          <w:b/>
        </w:rPr>
        <w:t xml:space="preserve">subsidiary autonomy delegation</w:t>
      </w:r>
      <w:r>
        <w:t xml:space="preserve"> </w:t>
      </w:r>
      <w:r>
        <w:t xml:space="preserve">in the area of international business.</w:t>
      </w:r>
    </w:p>
    <w:p>
      <w:pPr>
        <w:pStyle w:val="BodyText"/>
      </w:pPr>
      <w:r>
        <w:t xml:space="preserve">Subsidiary autonomy received less attention in early MNE-centered perspectives and greater attention in later subsidiary-based perspectives.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early MNE-centered perspectives</w:t>
      </w:r>
      <w:r>
        <w:t xml:space="preserve">: focus on the benefits of control and efficiency in exploiting home-based advantages.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later subsidiary-based perspectives</w:t>
      </w:r>
      <w:r>
        <w:t xml:space="preserve">: emphasize the increased importance of subsidiaries in the widespread and complex MNE network.</w:t>
      </w:r>
    </w:p>
    <w:p>
      <w:pPr>
        <w:pStyle w:val="FirstParagraph"/>
      </w:pPr>
      <w:r>
        <w:t xml:space="preserve">Complex institutions in emerging economies are conducive to</w:t>
      </w:r>
      <w:r>
        <w:t xml:space="preserve"> </w:t>
      </w:r>
      <w:r>
        <w:rPr>
          <w:b/>
        </w:rPr>
        <w:t xml:space="preserve">disadvantages</w:t>
      </w:r>
      <w:r>
        <w:t xml:space="preserve">, rather than advantages, in global competition for internationalizing domestic firms.</w:t>
      </w:r>
    </w:p>
    <w:p>
      <w:pPr>
        <w:pStyle w:val="BlockText"/>
      </w:pPr>
      <w:r>
        <w:t xml:space="preserve">Traditional views on the design of foreign subsidiary autonomy need further extension.</w:t>
      </w:r>
      <w:r>
        <w:t xml:space="preserve"> </w:t>
      </w:r>
      <w:r>
        <w:t xml:space="preserve">Building on theoretical developments proposing that internationalization can be a way for EMNEs to overcome home-country-based disadvantages at both the firm and country levels (Bartlett &amp; Ghoshal, 2000; Boisot &amp; Meyer, 2008; Luo &amp; Tung, 2007; Mathews, 2006), we argue that</w:t>
      </w:r>
      <w:r>
        <w:t xml:space="preserve"> </w:t>
      </w:r>
      <w:r>
        <w:rPr>
          <w:b/>
        </w:rPr>
        <w:t xml:space="preserve">EMNEs use subsidiary autonomy delegation as a key strategic mechanism and an organizational platform to lessen their home-originated weaknesses after foreign entry</w:t>
      </w:r>
      <w:r>
        <w:t xml:space="preserve">.</w:t>
      </w:r>
    </w:p>
    <w:p>
      <w:pPr>
        <w:pStyle w:val="FirstParagraph"/>
      </w:pPr>
      <w:r>
        <w:t xml:space="preserve">Subsidiary autonomy plays a twofold role for EMNEs:</w:t>
      </w:r>
    </w:p>
    <w:p>
      <w:pPr>
        <w:numPr>
          <w:ilvl w:val="0"/>
          <w:numId w:val="1002"/>
        </w:numPr>
        <w:pStyle w:val="Compact"/>
      </w:pPr>
      <w:r>
        <w:t xml:space="preserve">Providing efficiency in EMNEs’ approaches to overcome latecomer disadvantages.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Metanational advantage</w:t>
      </w:r>
      <w:r>
        <w:t xml:space="preserve">(firms benefit from tapping globally dispersed knowledge, rather than from exploiting advantages learned in the home country).</w:t>
      </w:r>
    </w:p>
    <w:p>
      <w:pPr>
        <w:numPr>
          <w:ilvl w:val="2"/>
          <w:numId w:val="1004"/>
        </w:numPr>
        <w:pStyle w:val="Compact"/>
      </w:pPr>
      <w:r>
        <w:t xml:space="preserve">Strategic asset-seeking behaviors to compensate for EMNEs’ deficiencies in brand recognition, technological knowledge, and managerial expertise (Child &amp; Rodriguez, 2005)</w:t>
      </w:r>
    </w:p>
    <w:p>
      <w:pPr>
        <w:numPr>
          <w:ilvl w:val="2"/>
          <w:numId w:val="1004"/>
        </w:numPr>
        <w:pStyle w:val="Compact"/>
      </w:pPr>
      <w:r>
        <w:t xml:space="preserve">Opportunity-seeking behaviors to exploit existing resources, and access and leverage locally embedded knowledge from around the world (Gubbi, Aulakh, Ray, Sarkar, &amp; Chittoor, 2010)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However</w:t>
      </w:r>
      <w:r>
        <w:t xml:space="preserve">, these approaches require abilities which can be challenging to accomplish without prior international experience and organizational expertise to organize complex activities globally, as well as in a realm of domestic institutional constraints.</w:t>
      </w:r>
    </w:p>
    <w:p>
      <w:pPr>
        <w:numPr>
          <w:ilvl w:val="2"/>
          <w:numId w:val="1005"/>
        </w:numPr>
        <w:pStyle w:val="Compact"/>
      </w:pPr>
      <w:r>
        <w:t xml:space="preserve">Organizational learning (Mathews, 2006)</w:t>
      </w:r>
    </w:p>
    <w:p>
      <w:pPr>
        <w:numPr>
          <w:ilvl w:val="2"/>
          <w:numId w:val="1005"/>
        </w:numPr>
        <w:pStyle w:val="Compact"/>
      </w:pPr>
      <w:r>
        <w:t xml:space="preserve">Development of strong learning capabilities (Bartlett &amp; Ghoshal, 2000)</w:t>
      </w:r>
    </w:p>
    <w:p>
      <w:pPr>
        <w:numPr>
          <w:ilvl w:val="0"/>
          <w:numId w:val="1002"/>
        </w:numPr>
        <w:pStyle w:val="Compact"/>
      </w:pPr>
      <w:r>
        <w:t xml:space="preserve">Distancing the foreign subsidiary from home office impediments instilled by the domestic institutional environment.</w:t>
      </w:r>
    </w:p>
    <w:p>
      <w:pPr>
        <w:numPr>
          <w:ilvl w:val="1"/>
          <w:numId w:val="1006"/>
        </w:numPr>
        <w:pStyle w:val="Compact"/>
      </w:pPr>
      <w:r>
        <w:t xml:space="preserve">Domestic institutions in emerging economies can impose constraints for the post-entry foreign operation of EMNEs.</w:t>
      </w:r>
    </w:p>
    <w:p>
      <w:pPr>
        <w:numPr>
          <w:ilvl w:val="2"/>
          <w:numId w:val="1007"/>
        </w:numPr>
        <w:pStyle w:val="Compact"/>
      </w:pPr>
      <w:r>
        <w:t xml:space="preserve">EMNEs may suffer from weak corporate governance and accountability (Luo &amp; Tung, 2007)</w:t>
      </w:r>
    </w:p>
    <w:p>
      <w:pPr>
        <w:numPr>
          <w:ilvl w:val="2"/>
          <w:numId w:val="1007"/>
        </w:numPr>
        <w:pStyle w:val="Compact"/>
      </w:pPr>
      <w:r>
        <w:t xml:space="preserve">Have generally poor credibility and image in the host country (Bartlett &amp; Ghoshal, 2000)</w:t>
      </w:r>
    </w:p>
    <w:p>
      <w:pPr>
        <w:numPr>
          <w:ilvl w:val="1"/>
          <w:numId w:val="1006"/>
        </w:numPr>
        <w:pStyle w:val="Compact"/>
      </w:pPr>
      <w:r>
        <w:t xml:space="preserve">In addition, as a consequence of the institutional voids in emerging economies (Khanna &amp; Palepu, 1997), it is particularly relevant during the post-entry stage in host countries, and hence requires remedies different from the ones that focus on circumventing institutional voids in the home country (Khanna &amp; Palepu, 2010)</w:t>
      </w:r>
    </w:p>
    <w:p>
      <w:pPr>
        <w:pStyle w:val="FirstParagraph"/>
      </w:pPr>
      <w:r>
        <w:t xml:space="preserve">hypothesize that subsidiary autonomy delegation is particularly salient among those EMNEs that rely on foreign markets as a springboard to acquire strategic assets.</w:t>
      </w:r>
    </w:p>
    <w:p>
      <w:pPr>
        <w:pStyle w:val="Heading2"/>
      </w:pPr>
      <w:bookmarkStart w:id="23" w:name="theory-development"/>
      <w:r>
        <w:t xml:space="preserve">THEORY DEVELOPMENT</w:t>
      </w:r>
      <w:bookmarkEnd w:id="23"/>
    </w:p>
    <w:p>
      <w:pPr>
        <w:pStyle w:val="Heading3"/>
      </w:pPr>
      <w:bookmarkStart w:id="24" w:name="antecedents-of-subsidiary-autonomy"/>
      <w:r>
        <w:t xml:space="preserve">Antecedents of Subsidiary Autonomy</w:t>
      </w:r>
      <w:bookmarkEnd w:id="24"/>
    </w:p>
    <w:p>
      <w:pPr>
        <w:pStyle w:val="FirstParagraph"/>
      </w:pPr>
      <w:r>
        <w:t xml:space="preserve">Emphasis on</w:t>
      </w:r>
      <w:r>
        <w:t xml:space="preserve"> </w:t>
      </w:r>
      <w:r>
        <w:rPr>
          <w:b/>
        </w:rPr>
        <w:t xml:space="preserve">subsidiary autonomy</w:t>
      </w:r>
      <w:r>
        <w:t xml:space="preserve"> </w:t>
      </w:r>
      <w:r>
        <w:t xml:space="preserve">has increased as research moved from</w:t>
      </w:r>
      <w:r>
        <w:t xml:space="preserve"> </w:t>
      </w:r>
      <w:r>
        <w:rPr>
          <w:b/>
        </w:rPr>
        <w:t xml:space="preserve">MNE-centered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subsidiary-centered</w:t>
      </w:r>
      <w:r>
        <w:t xml:space="preserve"> </w:t>
      </w:r>
      <w:r>
        <w:t xml:space="preserve">perspectives (Paterson &amp; Brock, 2002)</w:t>
      </w:r>
    </w:p>
    <w:p>
      <w:pPr>
        <w:pStyle w:val="CaptionedFigure"/>
      </w:pPr>
      <w:r>
        <w:drawing>
          <wp:inline>
            <wp:extent cx="5334000" cy="2433335"/>
            <wp:effectExtent b="0" l="0" r="0" t="0"/>
            <wp:docPr descr="Antecedents of Subsidiary Autonomy" title="" id="1" name="Picture"/>
            <a:graphic>
              <a:graphicData uri="http://schemas.openxmlformats.org/drawingml/2006/picture">
                <pic:pic>
                  <pic:nvPicPr>
                    <pic:cNvPr descr="SL_Wang2014/2020-09-22-15-28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Antecedents of Subsidiary Autonomy</w:t>
      </w:r>
    </w:p>
    <w:p>
      <w:pPr>
        <w:pStyle w:val="BodyText"/>
      </w:pPr>
      <w:r>
        <w:t xml:space="preserve">On the basis of the experiences of MNEs from</w:t>
      </w:r>
      <w:r>
        <w:t xml:space="preserve"> </w:t>
      </w:r>
      <w:r>
        <w:rPr>
          <w:b/>
        </w:rPr>
        <w:t xml:space="preserve">advanced economies</w:t>
      </w:r>
      <w:r>
        <w:t xml:space="preserve">, the evolution of these views is fundamentally based on the idea of exploiting ownership advantages built in the home country (Dunning, 1988, 1993) and incrementally expanding global operations (Johanson &amp; Vahlne, 1977, 1990).</w:t>
      </w:r>
    </w:p>
    <w:p>
      <w:pPr>
        <w:pStyle w:val="BodyText"/>
      </w:pPr>
      <w:r>
        <w:t xml:space="preserve">Traditional views on the antecedents of subsidiary autonomy are difficult to apply – neither can the MNE-centered perspectives be applied to the resource-disadvantageous position of EMNEs, nor can the subsidiary-centered perspectives be easily applied to the fledgling network of most EMNEs.</w:t>
      </w:r>
    </w:p>
    <w:p>
      <w:pPr>
        <w:pStyle w:val="Heading3"/>
      </w:pPr>
      <w:bookmarkStart w:id="26" w:name="emne-perspectives"/>
      <w:r>
        <w:t xml:space="preserve">EMNE Perspectives</w:t>
      </w:r>
      <w:bookmarkEnd w:id="26"/>
    </w:p>
    <w:p>
      <w:pPr>
        <w:pStyle w:val="FirstParagraph"/>
      </w:pPr>
      <w:r>
        <w:t xml:space="preserve">The pioneering scholarly works on EMNEs, includ- ing the work of Kumar and McLeod (1981) and Wells (1983), have provided unique features of EMNEs, such as:</w:t>
      </w:r>
    </w:p>
    <w:p>
      <w:pPr>
        <w:numPr>
          <w:ilvl w:val="0"/>
          <w:numId w:val="1008"/>
        </w:numPr>
        <w:pStyle w:val="Compact"/>
      </w:pPr>
      <w:r>
        <w:t xml:space="preserve">the lack of proprietary advantages</w:t>
      </w:r>
    </w:p>
    <w:p>
      <w:pPr>
        <w:numPr>
          <w:ilvl w:val="0"/>
          <w:numId w:val="1008"/>
        </w:numPr>
        <w:pStyle w:val="Compact"/>
      </w:pPr>
      <w:r>
        <w:t xml:space="preserve">weaker home institutions</w:t>
      </w:r>
    </w:p>
    <w:p>
      <w:pPr>
        <w:numPr>
          <w:ilvl w:val="0"/>
          <w:numId w:val="1008"/>
        </w:numPr>
        <w:pStyle w:val="Compact"/>
      </w:pPr>
      <w:r>
        <w:t xml:space="preserve">the latecomer status.</w:t>
      </w:r>
    </w:p>
    <w:p>
      <w:pPr>
        <w:pStyle w:val="FirstParagraph"/>
      </w:pPr>
      <w:r>
        <w:t xml:space="preserve">Recent theoretical developments have particularly highlighted</w:t>
      </w:r>
      <w:r>
        <w:t xml:space="preserve"> </w:t>
      </w:r>
      <w:r>
        <w:rPr>
          <w:b/>
        </w:rPr>
        <w:t xml:space="preserve">how EMNEs use internationalization to overcome their existing disadvantages</w:t>
      </w:r>
      <w:r>
        <w:t xml:space="preserve"> </w:t>
      </w:r>
      <w:r>
        <w:t xml:space="preserve">on the global stage (Bartlett &amp; Ghoshal, 2000; Luo &amp; Tung, 2007; Mathews, 2002, 2006).</w:t>
      </w:r>
    </w:p>
    <w:p>
      <w:pPr>
        <w:pStyle w:val="BodyText"/>
      </w:pPr>
      <w:r>
        <w:t xml:space="preserve">Nevertheless, according to a recent study by</w:t>
      </w:r>
      <w:r>
        <w:t xml:space="preserve"> </w:t>
      </w:r>
      <w:r>
        <w:rPr>
          <w:i/>
        </w:rPr>
        <w:t xml:space="preserve">McKinsey Quarterly</w:t>
      </w:r>
      <w:r>
        <w:t xml:space="preserve">,in the last decade EMNEs grew approximately</w:t>
      </w:r>
      <w:r>
        <w:t xml:space="preserve"> </w:t>
      </w:r>
      <w:r>
        <w:rPr>
          <w:b/>
        </w:rPr>
        <w:t xml:space="preserve">twice as fast</w:t>
      </w:r>
      <w:r>
        <w:t xml:space="preserve"> </w:t>
      </w:r>
      <w:r>
        <w:t xml:space="preserve">as those domiciled in advanced economies (Atsmon, Kloss, &amp; Smit, 2012).</w:t>
      </w:r>
    </w:p>
    <w:p>
      <w:pPr>
        <w:pStyle w:val="BodyText"/>
      </w:pPr>
      <w:r>
        <w:t xml:space="preserve">The insufficiency of mainstream internationalization theories, such as the</w:t>
      </w:r>
      <w:r>
        <w:t xml:space="preserve"> </w:t>
      </w:r>
      <w:r>
        <w:rPr>
          <w:rStyle w:val="VerbatimChar"/>
        </w:rPr>
        <w:t xml:space="preserve">eclectic paradigm</w:t>
      </w:r>
      <w:r>
        <w:t xml:space="preserve"> </w:t>
      </w:r>
      <w:r>
        <w:t xml:space="preserve">(Dunning, 1988, 1993) and the</w:t>
      </w:r>
      <w:r>
        <w:t xml:space="preserve"> </w:t>
      </w:r>
      <w:r>
        <w:rPr>
          <w:rStyle w:val="VerbatimChar"/>
        </w:rPr>
        <w:t xml:space="preserve">internationalization process model</w:t>
      </w:r>
      <w:r>
        <w:t xml:space="preserve"> </w:t>
      </w:r>
      <w:r>
        <w:t xml:space="preserve">(Johanson &amp; Vahlne, 1977, 1990), to explain this phenomenon has spurred the development of other theoretical perspectives: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springboard perspective</w:t>
      </w:r>
      <w:r>
        <w:t xml:space="preserve"> </w:t>
      </w:r>
      <w:r>
        <w:t xml:space="preserve">(Luo &amp; Tung, 2007)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linkage-leverage-learning (LLL) framework</w:t>
      </w:r>
      <w:r>
        <w:t xml:space="preserve"> </w:t>
      </w:r>
      <w:r>
        <w:t xml:space="preserve">(Mathews, 2002, 2006)</w:t>
      </w:r>
    </w:p>
    <w:p>
      <w:pPr>
        <w:pStyle w:val="Heading3"/>
      </w:pPr>
      <w:bookmarkStart w:id="27" w:name="emnes-post-entry-disadvantages"/>
      <w:r>
        <w:t xml:space="preserve">EMNEs’ Post-Entry Disadvantages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2020-09-22T07:45:45Z</dcterms:created>
  <dcterms:modified xsi:type="dcterms:W3CDTF">2020-09-22T07:45:45Z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