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rPr>
          <w:rFonts w:ascii="Calibri" w:cs="Calibri" w:eastAsia="Calibri" w:hAnsi="Calibri"/>
          <w:b/>
          <w:bCs/>
          <w:color w:val="2DD4BF"/>
          <w:spacing w:val="60"/>
          <w:sz w:val="30"/>
          <w:szCs w:val="30"/>
        </w:rPr>
        <w:t xml:space="preserve">TRADING EXCHANGE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color w:val="0B1220"/>
          <w:sz w:val="72"/>
          <w:szCs w:val="72"/>
        </w:rPr>
        <w:t xml:space="preserve">Backend</w:t>
      </w:r>
    </w:p>
    <w:p>
      <w:pPr>
        <w:pBdr>
          <w:bottom w:val="single" w:color="2DD4BF" w:sz="16" w:space="10"/>
        </w:pBdr>
        <w:spacing w:after="200"/>
      </w:pPr>
      <w:r>
        <w:rPr>
          <w:rFonts w:ascii="Calibri" w:cs="Calibri" w:eastAsia="Calibri" w:hAnsi="Calibri"/>
          <w:color w:val="64748B"/>
          <w:sz w:val="26"/>
          <w:szCs w:val="26"/>
        </w:rPr>
        <w:t xml:space="preserve">A concurrent spot exchange in Java 26 + Spring Boot 4</w:t>
      </w:r>
    </w:p>
    <w:p>
      <w:pPr>
        <w:spacing w:after="60"/>
      </w:pPr>
      <w:r>
        <w:drawing>
          <wp:inline distT="0" distB="0" distL="0" distR="0">
            <wp:extent cx="5905500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Live trading dashboard — order book, trade tape, order ticket and balances over REST + WebSocket.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0F76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Matching</w:t>
            </w:r>
          </w:p>
        </w:tc>
        <w:tc>
          <w:tcPr>
            <w:tcW w:type="dxa" w:w="2340"/>
            <w:shd w:fill="0F76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Money model</w:t>
            </w:r>
          </w:p>
        </w:tc>
        <w:tc>
          <w:tcPr>
            <w:tcW w:type="dxa" w:w="2340"/>
            <w:shd w:fill="0F76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Concurrency</w:t>
            </w:r>
          </w:p>
        </w:tc>
        <w:tc>
          <w:tcPr>
            <w:tcW w:type="dxa" w:w="2340"/>
            <w:shd w:fill="0F76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API</w:t>
            </w:r>
          </w:p>
        </w:tc>
      </w:tr>
      <w:tr>
        <w:tc>
          <w:tcPr>
            <w:tcW w:type="dxa" w:w="234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Price-time priority</w:t>
            </w:r>
          </w:p>
        </w:tc>
        <w:tc>
          <w:tcPr>
            <w:tcW w:type="dxa" w:w="234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Exact integer units</w:t>
            </w:r>
          </w:p>
        </w:tc>
        <w:tc>
          <w:tcPr>
            <w:tcW w:type="dxa" w:w="234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Per-symbol locks</w:t>
            </w:r>
          </w:p>
        </w:tc>
        <w:tc>
          <w:tcPr>
            <w:tcW w:type="dxa" w:w="234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REST + WebSocket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B1220"/>
          <w:sz w:val="30"/>
          <w:szCs w:val="30"/>
        </w:rPr>
        <w:t xml:space="preserve">Contents</w:t>
      </w:r>
    </w:p>
    <w:p>
      <w:pPr>
        <w:pBdr>
          <w:bottom w:val="dotted" w:color="CBD5E1" w:sz="4" w:space="4"/>
        </w:pBd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1  Overview</w:t>
      </w:r>
    </w:p>
    <w:p>
      <w:pPr>
        <w:pBdr>
          <w:bottom w:val="dotted" w:color="CBD5E1" w:sz="4" w:space="4"/>
        </w:pBd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2  Architecture</w:t>
      </w:r>
    </w:p>
    <w:p>
      <w:pPr>
        <w:pBdr>
          <w:bottom w:val="dotted" w:color="CBD5E1" w:sz="4" w:space="4"/>
        </w:pBd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3  The Matching Engine</w:t>
      </w:r>
    </w:p>
    <w:p>
      <w:pPr>
        <w:pBdr>
          <w:bottom w:val="dotted" w:color="CBD5E1" w:sz="4" w:space="4"/>
        </w:pBd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4  Accounts, Reservation &amp; Atomic Settlement</w:t>
      </w:r>
    </w:p>
    <w:p>
      <w:pPr>
        <w:pBdr>
          <w:bottom w:val="dotted" w:color="CBD5E1" w:sz="4" w:space="4"/>
        </w:pBd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5  Concurrency &amp; the Conservation Invariant</w:t>
      </w:r>
    </w:p>
    <w:p>
      <w:pPr>
        <w:pBdr>
          <w:bottom w:val="dotted" w:color="CBD5E1" w:sz="4" w:space="4"/>
        </w:pBd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6  Authentication &amp; Authorization</w:t>
      </w:r>
    </w:p>
    <w:p>
      <w:pPr>
        <w:pBdr>
          <w:bottom w:val="dotted" w:color="CBD5E1" w:sz="4" w:space="4"/>
        </w:pBd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7  REST + WebSocket API</w:t>
      </w:r>
    </w:p>
    <w:p>
      <w:pPr>
        <w:pBdr>
          <w:bottom w:val="dotted" w:color="CBD5E1" w:sz="4" w:space="4"/>
        </w:pBd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8  Testing</w:t>
      </w:r>
    </w:p>
    <w:p>
      <w:pPr>
        <w:pBdr>
          <w:bottom w:val="dotted" w:color="CBD5E1" w:sz="4" w:space="4"/>
        </w:pBd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9  Running It</w:t>
      </w:r>
    </w:p>
    <w:p>
      <w:pPr>
        <w:pBdr>
          <w:bottom w:val="dotted" w:color="CBD5E1" w:sz="4" w:space="4"/>
        </w:pBd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10  Honesty Notes &amp; Production Extensions</w:t>
      </w:r>
    </w:p>
    <w:p>
      <w:r>
        <w:br w:type="page"/>
      </w:r>
    </w:p>
    <w:p>
      <w:pPr>
        <w:pStyle w:val="Heading1"/>
        <w:pBdr>
          <w:bottom w:val="single" w:color="2DD4BF" w:sz="10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1220"/>
          <w:sz w:val="30"/>
          <w:szCs w:val="30"/>
        </w:rPr>
        <w:t xml:space="preserve">1  Overview</w:t>
      </w:r>
    </w:p>
    <w:p>
      <w:pPr>
        <w:spacing w:after="130" w:line="276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This is a self-contained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spot trading exchange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built with Java 26 and Spring Boot 4 (on Spring Framework 7). It provides a thread-safe, price-time-priority matching engine, full account and balance management with fund reservation and atomic settlement, stateless JWT authentication (username/password and Google sign-in), and a REST + WebSocket API with OpenAPI documentation and a live dashboard.</w:t>
      </w:r>
    </w:p>
    <w:p>
      <w:pPr>
        <w:spacing w:after="130" w:line="276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The defining engineering property is </w:t>
      </w:r>
      <w:r>
        <w:rPr>
          <w:rFonts w:ascii="Calibri" w:cs="Calibri" w:eastAsia="Calibri" w:hAnsi="Calibri"/>
          <w:b/>
          <w:bCs/>
          <w:color w:val="0F766E"/>
          <w:sz w:val="21"/>
          <w:szCs w:val="21"/>
        </w:rPr>
        <w:t xml:space="preserve">conservation of value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: matching only ever transfers assets between accounts — it never creates or destroys them. This invariant is enforced by the settlement logic and verified by a concurrency test that fires 8,000 orders across 8 threads and asserts the total quantity of every asset is exactly unchanged.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What it demonstrates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Correct concurrent state management under a clear, deadlock-free locking model.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Careful money handling — exact integer arithmetic, no floating-point currency.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Clean layered architecture with a framework-independent domain and engine.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REST and WebSocket API design with validation and structured error handling.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Stateless security with Spring Security + JWT, and authorization derived from the token rather than the request.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A test suite that proves the hard invariants, not just the happy path.</w:t>
      </w:r>
    </w:p>
    <w:p>
      <w:pPr>
        <w:pStyle w:val="Heading1"/>
        <w:pBdr>
          <w:bottom w:val="single" w:color="2DD4BF" w:sz="10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1220"/>
          <w:sz w:val="30"/>
          <w:szCs w:val="30"/>
        </w:rPr>
        <w:t xml:space="preserve">2  Architecture</w:t>
      </w:r>
    </w:p>
    <w:p>
      <w:pPr>
        <w:spacing w:after="130" w:line="276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A standard layered Spring Boot application. The domain and engine are plain Java with no framework coupling, which keeps them fast to unit-test in isolation.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9360"/>
      </w:tblGrid>
      <w:tr>
        <w:tc>
          <w:tcPr>
            <w:tcW w:type="dxa" w:w="9360"/>
            <w:shd w:fill="0F172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6E2F0"/>
                <w:sz w:val="18"/>
                <w:szCs w:val="18"/>
              </w:rPr>
              <w:t xml:space="preserve">web/         REST controllers, WebSocket handler, exception handler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6E2F0"/>
                <w:sz w:val="18"/>
                <w:szCs w:val="18"/>
              </w:rPr>
              <w:t xml:space="preserve">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6E2F0"/>
                <w:sz w:val="18"/>
                <w:szCs w:val="18"/>
              </w:rPr>
              <w:t xml:space="preserve">service/     ExchangeService (locking, settlement), AccountService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6E2F0"/>
                <w:sz w:val="18"/>
                <w:szCs w:val="18"/>
              </w:rPr>
              <w:t xml:space="preserve">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6E2F0"/>
                <w:sz w:val="18"/>
                <w:szCs w:val="18"/>
              </w:rPr>
              <w:t xml:space="preserve">engine/      MatchingEngine  - pure price-time matching -&gt; Fills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6E2F0"/>
                <w:sz w:val="18"/>
                <w:szCs w:val="18"/>
              </w:rPr>
              <w:t xml:space="preserve">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6E2F0"/>
                <w:sz w:val="18"/>
                <w:szCs w:val="18"/>
              </w:rPr>
              <w:t xml:space="preserve">domain/      Order, Trade, OrderBook, Account, Instrument, enums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6E2F0"/>
                <w:sz w:val="18"/>
                <w:szCs w:val="18"/>
              </w:rPr>
              <w:t xml:space="preserve">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6E2F0"/>
                <w:sz w:val="18"/>
                <w:szCs w:val="18"/>
              </w:rPr>
              <w:t xml:space="preserve">repository/  in-memory stores behind simple interfaces</w:t>
            </w:r>
          </w:p>
        </w:tc>
      </w:tr>
    </w:tbl>
    <w:p>
      <w:pPr>
        <w:spacing w:after="130" w:line="276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A request enters through a controller, is validated, and reaches </w:t>
      </w:r>
      <w:r>
        <w:rPr>
          <w:rFonts w:ascii="Consolas" w:cs="Consolas" w:eastAsia="Consolas" w:hAnsi="Consolas"/>
          <w:color w:val="0B1220"/>
          <w:sz w:val="19"/>
          <w:szCs w:val="19"/>
        </w:rPr>
        <w:t xml:space="preserve">ExchangeService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which reserves funds, calls the </w:t>
      </w:r>
      <w:r>
        <w:rPr>
          <w:rFonts w:ascii="Consolas" w:cs="Consolas" w:eastAsia="Consolas" w:hAnsi="Consolas"/>
          <w:color w:val="0B1220"/>
          <w:sz w:val="19"/>
          <w:szCs w:val="19"/>
        </w:rPr>
        <w:t xml:space="preserve">MatchingEngine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settles each resulting fill atomically against the two accounts, records the trade, and publishes a live update to WebSocket subscribers.</w:t>
      </w:r>
    </w:p>
    <w:p>
      <w:pPr>
        <w:pStyle w:val="Heading1"/>
        <w:pBdr>
          <w:bottom w:val="single" w:color="2DD4BF" w:sz="10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1220"/>
          <w:sz w:val="30"/>
          <w:szCs w:val="30"/>
        </w:rPr>
        <w:t xml:space="preserve">3  The Matching Engine</w:t>
      </w:r>
    </w:p>
    <w:p>
      <w:pPr>
        <w:spacing w:after="130" w:line="276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Each instrument has one order book. Each side is a price-sorted map of FIFO queues: bids sorted descending (best = highest), asks ascending (best = lowest), and within a price level orders form a FIFO queue so earlier arrivals match first.</w:t>
      </w:r>
    </w:p>
    <w:p>
      <w:pPr>
        <w:spacing w:after="130" w:line="276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This yields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price-time priority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— better prices first, ties broken by arrival — with O(log L) access to the best level in the number of price levels L.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Trades print at the resting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maker's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price.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A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LIMIT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order not fully filled 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rests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in the book.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A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MARKET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order never rests; any remainder is cancelled.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A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MARKET BUY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is capped by a quote budget, since its cost is unknown until it executes — guaranteeing every fill is affordable.</w:t>
      </w:r>
    </w:p>
    <w:p>
      <w:pPr>
        <w:pStyle w:val="Heading1"/>
        <w:pBdr>
          <w:bottom w:val="single" w:color="2DD4BF" w:sz="10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1220"/>
          <w:sz w:val="30"/>
          <w:szCs w:val="30"/>
        </w:rPr>
        <w:t xml:space="preserve">4  Accounts, Reservation &amp; Atomic Settlement</w:t>
      </w:r>
    </w:p>
    <w:p>
      <w:pPr>
        <w:spacing w:after="130" w:line="276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Every account holds, per asset, an available balance (spendable) and a reserved balance (held against open orders). Placing an order reserves the funds it might spend, so they cannot be double-spent: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0F76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Order</w:t>
            </w:r>
          </w:p>
        </w:tc>
        <w:tc>
          <w:tcPr>
            <w:tcW w:type="dxa" w:w="6360"/>
            <w:shd w:fill="0F76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Reserves</w:t>
            </w:r>
          </w:p>
        </w:tc>
      </w:tr>
      <w:tr>
        <w:tc>
          <w:tcPr>
            <w:tcW w:type="dxa" w:w="300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Limit buy</w:t>
            </w:r>
          </w:p>
        </w:tc>
        <w:tc>
          <w:tcPr>
            <w:tcW w:type="dxa" w:w="636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0B1220"/>
                <w:sz w:val="18"/>
                <w:szCs w:val="18"/>
              </w:rPr>
              <w:t xml:space="preserve">quantity x price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 of the quote asset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Limit sell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0B1220"/>
                <w:sz w:val="18"/>
                <w:szCs w:val="18"/>
              </w:rPr>
              <w:t xml:space="preserve">quantity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 of the base asset</w:t>
            </w:r>
          </w:p>
        </w:tc>
      </w:tr>
      <w:tr>
        <w:tc>
          <w:tcPr>
            <w:tcW w:type="dxa" w:w="300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Market sell</w:t>
            </w:r>
          </w:p>
        </w:tc>
        <w:tc>
          <w:tcPr>
            <w:tcW w:type="dxa" w:w="636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0B1220"/>
                <w:sz w:val="18"/>
                <w:szCs w:val="18"/>
              </w:rPr>
              <w:t xml:space="preserve">quantity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 of the base asset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Market buy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nothing up front; capped by available quote as a budget</w:t>
            </w:r>
          </w:p>
        </w:tc>
      </w:tr>
    </w:tbl>
    <w:p>
      <w:pPr>
        <w:spacing w:after="80"/>
      </w:pPr>
    </w:p>
    <w:p>
      <w:pPr>
        <w:spacing w:after="130" w:line="276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Each fill then settles atomically. The seller spends reserved base and receives quote; the buyer spends quote (from reserved for a limit order, from available for a budgeted market buy) and receives base. A limit buy that executes below its limit has the difference refunded from reserved back to available — bid 100, trade at 90, keep the 10.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Money is always integer</w:t>
      </w:r>
    </w:p>
    <w:p>
      <w:pPr>
        <w:spacing w:after="130" w:line="276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All prices and quantities are </w:t>
      </w:r>
      <w:r>
        <w:rPr>
          <w:rFonts w:ascii="Consolas" w:cs="Consolas" w:eastAsia="Consolas" w:hAnsi="Consolas"/>
          <w:color w:val="0B1220"/>
          <w:sz w:val="19"/>
          <w:szCs w:val="19"/>
        </w:rPr>
        <w:t xml:space="preserve">long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integers in the asset's smallest tradable unit, so notional = price x quantity is exact. There is no </w:t>
      </w:r>
      <w:r>
        <w:rPr>
          <w:rFonts w:ascii="Consolas" w:cs="Consolas" w:eastAsia="Consolas" w:hAnsi="Consolas"/>
          <w:color w:val="0B1220"/>
          <w:sz w:val="19"/>
          <w:szCs w:val="19"/>
        </w:rPr>
        <w:t xml:space="preserve">double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anywhere in the money path — floating-point currency bugs are an unacceptable class of error in an exchange.</w:t>
      </w:r>
    </w:p>
    <w:p>
      <w:pPr>
        <w:pStyle w:val="Heading1"/>
        <w:pBdr>
          <w:bottom w:val="single" w:color="2DD4BF" w:sz="10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1220"/>
          <w:sz w:val="30"/>
          <w:szCs w:val="30"/>
        </w:rPr>
        <w:t xml:space="preserve">5  Concurrency &amp; the Conservation Invariant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All activity on an instrument is serialised under a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per-symbol ReentrantLock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so one book behaves as if single-threaded while different symbols run in parallel.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Account balance mutations are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atomic per account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so there are no lost updates when an account trades on several symbols at once.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The service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never holds two account locks at once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so there is no lock-ordering deadlock.</w:t>
      </w:r>
    </w:p>
    <w:p>
      <w:pPr>
        <w:spacing w:after="130" w:line="276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The </w:t>
      </w:r>
      <w:r>
        <w:rPr>
          <w:rFonts w:ascii="Consolas" w:cs="Consolas" w:eastAsia="Consolas" w:hAnsi="Consolas"/>
          <w:color w:val="0B1220"/>
          <w:sz w:val="19"/>
          <w:szCs w:val="19"/>
        </w:rPr>
        <w:t xml:space="preserve">ConcurrencyTest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exercises this directly: 8 threads each place 1,000 random orders against a shared book, after which it asserts total USD and total BTC are unchanged to the unit, no balance is negative, and the run did not deadlock.</w:t>
      </w:r>
    </w:p>
    <w:p>
      <w:pPr>
        <w:pStyle w:val="Heading1"/>
        <w:pBdr>
          <w:bottom w:val="single" w:color="2DD4BF" w:sz="10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1220"/>
          <w:sz w:val="30"/>
          <w:szCs w:val="30"/>
        </w:rPr>
        <w:t xml:space="preserve">6  Authentication &amp; Authorization</w:t>
      </w:r>
    </w:p>
    <w:p>
      <w:pPr>
        <w:spacing w:after="130" w:line="276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Access is gated by a login/register screen and secured with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Spring Security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and stateless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JWT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bearer tokens. Users authenticate in one of two ways: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Username / password.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Registration hashes the password with BCrypt, provisions a fresh trading account, and returns a signed token; login verifies the hash.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Google sign-in.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The browser obtains a Google ID token via Google Identity Services; the server verifies its signature against Google's public JWKS and checks issuer and audience before issuing its own token, provisioning an account on first sign-in.</w:t>
      </w:r>
    </w:p>
    <w:p>
      <w:pPr>
        <w:spacing w:after="130" w:line="276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Tokens are HMAC-SHA256 JWTs carrying the username and linked </w:t>
      </w:r>
      <w:r>
        <w:rPr>
          <w:rFonts w:ascii="Consolas" w:cs="Consolas" w:eastAsia="Consolas" w:hAnsi="Consolas"/>
          <w:color w:val="0B1220"/>
          <w:sz w:val="19"/>
          <w:szCs w:val="19"/>
        </w:rPr>
        <w:t xml:space="preserve">accountId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minted with Spring Security's </w:t>
      </w:r>
      <w:r>
        <w:rPr>
          <w:rFonts w:ascii="Consolas" w:cs="Consolas" w:eastAsia="Consolas" w:hAnsi="Consolas"/>
          <w:color w:val="0B1220"/>
          <w:sz w:val="19"/>
          <w:szCs w:val="19"/>
        </w:rPr>
        <w:t xml:space="preserve">JwtEncoder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and validated by the OAuth2 resource server on every protected request. Two authorization choices are worth highlighting: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The trading account is taken from the token, never the request body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— a user can only ever act on their own funds.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Reading a resource you don't own returns </w:t>
      </w:r>
      <w:r>
        <w:rPr>
          <w:rFonts w:ascii="Consolas" w:cs="Consolas" w:eastAsia="Consolas" w:hAnsi="Consolas"/>
          <w:color w:val="0B1220"/>
          <w:sz w:val="19"/>
          <w:szCs w:val="19"/>
        </w:rPr>
        <w:t xml:space="preserve">404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so the API never confirms the existence of other users' accounts or orders.</w:t>
      </w:r>
    </w:p>
    <w:p>
      <w:pPr>
        <w:spacing w:after="130" w:line="276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Market-data reads, the WebSocket feed, the docs and the login page are public; everything else requires a token. Google sign-in is enabled by setting </w:t>
      </w:r>
      <w:r>
        <w:rPr>
          <w:rFonts w:ascii="Consolas" w:cs="Consolas" w:eastAsia="Consolas" w:hAnsi="Consolas"/>
          <w:color w:val="0B1220"/>
          <w:sz w:val="19"/>
          <w:szCs w:val="19"/>
        </w:rPr>
        <w:t xml:space="preserve">GOOGLE_CLIENT_ID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and registering </w:t>
      </w:r>
      <w:r>
        <w:rPr>
          <w:rFonts w:ascii="Consolas" w:cs="Consolas" w:eastAsia="Consolas" w:hAnsi="Consolas"/>
          <w:color w:val="0B1220"/>
          <w:sz w:val="19"/>
          <w:szCs w:val="19"/>
        </w:rPr>
        <w:t xml:space="preserve">http://localhost:8080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as an authorized origin; unset, the app runs with username/password only.</w:t>
      </w:r>
    </w:p>
    <w:p>
      <w:pPr>
        <w:spacing w:after="40" w:before="60"/>
        <w:jc w:val="center"/>
      </w:pPr>
      <w:r>
        <w:drawing>
          <wp:inline distT="0" distB="0" distL="0" distR="0">
            <wp:extent cx="2857500" cy="2009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The login screen — username/password with an optional Google sign-in button.</w:t>
      </w:r>
    </w:p>
    <w:p>
      <w:pPr>
        <w:pStyle w:val="Heading1"/>
        <w:pBdr>
          <w:bottom w:val="single" w:color="2DD4BF" w:sz="10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1220"/>
          <w:sz w:val="30"/>
          <w:szCs w:val="30"/>
        </w:rPr>
        <w:t xml:space="preserve">7  REST + WebSocket API</w:t>
      </w:r>
    </w:p>
    <w:p>
      <w:pPr>
        <w:spacing w:after="130" w:line="276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Base path </w:t>
      </w:r>
      <w:r>
        <w:rPr>
          <w:rFonts w:ascii="Consolas" w:cs="Consolas" w:eastAsia="Consolas" w:hAnsi="Consolas"/>
          <w:color w:val="0B1220"/>
          <w:sz w:val="19"/>
          <w:szCs w:val="19"/>
        </w:rPr>
        <w:t xml:space="preserve">/api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 Interactive OpenAPI docs at </w:t>
      </w:r>
      <w:r>
        <w:rPr>
          <w:rFonts w:ascii="Consolas" w:cs="Consolas" w:eastAsia="Consolas" w:hAnsi="Consolas"/>
          <w:color w:val="0B1220"/>
          <w:sz w:val="19"/>
          <w:szCs w:val="19"/>
        </w:rPr>
        <w:t xml:space="preserve">/swagger-ui.html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 A lock icon marks endpoints that require a bearer token.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200"/>
        <w:gridCol w:w="4360"/>
        <w:gridCol w:w="3800"/>
      </w:tblGrid>
      <w:tr>
        <w:trPr>
          <w:tblHeader/>
        </w:trPr>
        <w:tc>
          <w:tcPr>
            <w:tcW w:type="dxa" w:w="1200"/>
            <w:shd w:fill="0F76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4360"/>
            <w:shd w:fill="0F76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3800"/>
            <w:shd w:fill="0F76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20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436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0B1220"/>
                <w:sz w:val="18"/>
                <w:szCs w:val="18"/>
              </w:rPr>
              <w:t xml:space="preserve">/api/auth/register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/>
            </w:r>
          </w:p>
        </w:tc>
        <w:tc>
          <w:tcPr>
            <w:tcW w:type="dxa" w:w="380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Create a user (returns token + accountId)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0B1220"/>
                <w:sz w:val="18"/>
                <w:szCs w:val="18"/>
              </w:rPr>
              <w:t xml:space="preserve">/api/auth/login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/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Log in with username/password</w:t>
            </w:r>
          </w:p>
        </w:tc>
      </w:tr>
      <w:tr>
        <w:tc>
          <w:tcPr>
            <w:tcW w:type="dxa" w:w="120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436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0B1220"/>
                <w:sz w:val="18"/>
                <w:szCs w:val="18"/>
              </w:rPr>
              <w:t xml:space="preserve">/api/auth/google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/>
            </w:r>
          </w:p>
        </w:tc>
        <w:tc>
          <w:tcPr>
            <w:tcW w:type="dxa" w:w="380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Log in with a Google ID token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0B1220"/>
                <w:sz w:val="18"/>
                <w:szCs w:val="18"/>
              </w:rPr>
              <w:t xml:space="preserve">/api/auth/me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 🔒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Current user + balances</w:t>
            </w:r>
          </w:p>
        </w:tc>
      </w:tr>
      <w:tr>
        <w:tc>
          <w:tcPr>
            <w:tcW w:type="dxa" w:w="120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436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0B1220"/>
                <w:sz w:val="18"/>
                <w:szCs w:val="18"/>
              </w:rPr>
              <w:t xml:space="preserve">/api/orders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 🔒</w:t>
            </w:r>
          </w:p>
        </w:tc>
        <w:tc>
          <w:tcPr>
            <w:tcW w:type="dxa" w:w="380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Place an order on your account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0B1220"/>
                <w:sz w:val="18"/>
                <w:szCs w:val="18"/>
              </w:rPr>
              <w:t xml:space="preserve">/api/orders/{id}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 🔒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Order status (owner only)</w:t>
            </w:r>
          </w:p>
        </w:tc>
      </w:tr>
      <w:tr>
        <w:tc>
          <w:tcPr>
            <w:tcW w:type="dxa" w:w="120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DELETE</w:t>
            </w:r>
          </w:p>
        </w:tc>
        <w:tc>
          <w:tcPr>
            <w:tcW w:type="dxa" w:w="436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0B1220"/>
                <w:sz w:val="18"/>
                <w:szCs w:val="18"/>
              </w:rPr>
              <w:t xml:space="preserve">/api/orders/{id}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 🔒</w:t>
            </w:r>
          </w:p>
        </w:tc>
        <w:tc>
          <w:tcPr>
            <w:tcW w:type="dxa" w:w="380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Cancel (owner only)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0B1220"/>
                <w:sz w:val="18"/>
                <w:szCs w:val="18"/>
              </w:rPr>
              <w:t xml:space="preserve">/api/accounts/{id}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 🔒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Account with balances (owner only)</w:t>
            </w:r>
          </w:p>
        </w:tc>
      </w:tr>
      <w:tr>
        <w:tc>
          <w:tcPr>
            <w:tcW w:type="dxa" w:w="120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436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0B1220"/>
                <w:sz w:val="18"/>
                <w:szCs w:val="18"/>
              </w:rPr>
              <w:t xml:space="preserve">/api/market/{symbol}/book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/>
            </w:r>
          </w:p>
        </w:tc>
        <w:tc>
          <w:tcPr>
            <w:tcW w:type="dxa" w:w="380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L2 order-book depth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0B1220"/>
                <w:sz w:val="18"/>
                <w:szCs w:val="18"/>
              </w:rPr>
              <w:t xml:space="preserve">/api/market/{symbol}/trades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/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Recent trades</w:t>
            </w:r>
          </w:p>
        </w:tc>
      </w:tr>
      <w:tr>
        <w:tc>
          <w:tcPr>
            <w:tcW w:type="dxa" w:w="120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WS</w:t>
            </w:r>
          </w:p>
        </w:tc>
        <w:tc>
          <w:tcPr>
            <w:tcW w:type="dxa" w:w="436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0B1220"/>
                <w:sz w:val="18"/>
                <w:szCs w:val="18"/>
              </w:rPr>
              <w:t xml:space="preserve">/ws/market</w:t>
            </w: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/>
            </w:r>
          </w:p>
        </w:tc>
        <w:tc>
          <w:tcPr>
            <w:tcW w:type="dxa" w:w="380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Live book &amp; trade events</w:t>
            </w:r>
          </w:p>
        </w:tc>
      </w:tr>
    </w:tbl>
    <w:p>
      <w:pPr>
        <w:spacing w:after="80"/>
      </w:pPr>
    </w:p>
    <w:p>
      <w:pPr>
        <w:spacing w:after="130" w:line="276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Errors return clean JSON with the correct status: </w:t>
      </w:r>
      <w:r>
        <w:rPr>
          <w:rFonts w:ascii="Consolas" w:cs="Consolas" w:eastAsia="Consolas" w:hAnsi="Consolas"/>
          <w:color w:val="0B1220"/>
          <w:sz w:val="19"/>
          <w:szCs w:val="19"/>
        </w:rPr>
        <w:t xml:space="preserve">401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(missing/invalid token), </w:t>
      </w:r>
      <w:r>
        <w:rPr>
          <w:rFonts w:ascii="Consolas" w:cs="Consolas" w:eastAsia="Consolas" w:hAnsi="Consolas"/>
          <w:color w:val="0B1220"/>
          <w:sz w:val="19"/>
          <w:szCs w:val="19"/>
        </w:rPr>
        <w:t xml:space="preserve">404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(unknown or unowned account/order), </w:t>
      </w:r>
      <w:r>
        <w:rPr>
          <w:rFonts w:ascii="Consolas" w:cs="Consolas" w:eastAsia="Consolas" w:hAnsi="Consolas"/>
          <w:color w:val="0B1220"/>
          <w:sz w:val="19"/>
          <w:szCs w:val="19"/>
        </w:rPr>
        <w:t xml:space="preserve">422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(rejected — bad market, insufficient funds, invalid credentials), </w:t>
      </w:r>
      <w:r>
        <w:rPr>
          <w:rFonts w:ascii="Consolas" w:cs="Consolas" w:eastAsia="Consolas" w:hAnsi="Consolas"/>
          <w:color w:val="0B1220"/>
          <w:sz w:val="19"/>
          <w:szCs w:val="19"/>
        </w:rPr>
        <w:t xml:space="preserve">400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(validation).</w:t>
      </w:r>
    </w:p>
    <w:p>
      <w:pPr>
        <w:pStyle w:val="Heading1"/>
        <w:pBdr>
          <w:bottom w:val="single" w:color="2DD4BF" w:sz="10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1220"/>
          <w:sz w:val="30"/>
          <w:szCs w:val="30"/>
        </w:rPr>
        <w:t xml:space="preserve">8  Testing</w:t>
      </w:r>
    </w:p>
    <w:p>
      <w:pPr>
        <w:spacing w:after="130" w:line="276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17 tests across four suites, all passing: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000"/>
        <w:gridCol w:w="1000"/>
        <w:gridCol w:w="5360"/>
      </w:tblGrid>
      <w:tr>
        <w:trPr>
          <w:tblHeader/>
        </w:trPr>
        <w:tc>
          <w:tcPr>
            <w:tcW w:type="dxa" w:w="3000"/>
            <w:shd w:fill="0F76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Suite</w:t>
            </w:r>
          </w:p>
        </w:tc>
        <w:tc>
          <w:tcPr>
            <w:tcW w:type="dxa" w:w="1000"/>
            <w:shd w:fill="0F76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Tests</w:t>
            </w:r>
          </w:p>
        </w:tc>
        <w:tc>
          <w:tcPr>
            <w:tcW w:type="dxa" w:w="5360"/>
            <w:shd w:fill="0F76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Covers</w:t>
            </w:r>
          </w:p>
        </w:tc>
      </w:tr>
      <w:tr>
        <w:tc>
          <w:tcPr>
            <w:tcW w:type="dxa" w:w="300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MatchingEngineTest</w:t>
            </w:r>
          </w:p>
        </w:tc>
        <w:tc>
          <w:tcPr>
            <w:tcW w:type="dxa" w:w="100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6</w:t>
            </w:r>
          </w:p>
        </w:tc>
        <w:tc>
          <w:tcPr>
            <w:tcW w:type="dxa" w:w="536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priority, multi-level sweeps, market budget, resting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ExchangeServiceTest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6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reservation, settlement, refunds, rejects, cancel</w:t>
            </w:r>
          </w:p>
        </w:tc>
      </w:tr>
      <w:tr>
        <w:tc>
          <w:tcPr>
            <w:tcW w:type="dxa" w:w="300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ConcurrencyTest</w:t>
            </w:r>
          </w:p>
        </w:tc>
        <w:tc>
          <w:tcPr>
            <w:tcW w:type="dxa" w:w="100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</w:t>
            </w:r>
          </w:p>
        </w:tc>
        <w:tc>
          <w:tcPr>
            <w:tcW w:type="dxa" w:w="5360"/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conservation of value under 8x1,000 orders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ApiIntegrationTest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4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authenticated trade flow, 401, 400, bad login (MockMvc)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9360"/>
      </w:tblGrid>
      <w:tr>
        <w:tc>
          <w:tcPr>
            <w:tcW w:type="dxa" w:w="9360"/>
            <w:shd w:fill="0F172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6E2F0"/>
                <w:sz w:val="18"/>
                <w:szCs w:val="18"/>
              </w:rPr>
              <w:t xml:space="preserve">$ mvn test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6E2F0"/>
                <w:sz w:val="18"/>
                <w:szCs w:val="18"/>
              </w:rPr>
              <w:t xml:space="preserve">Tests run: 17, Failures: 0, Errors: 0, Skipped: 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6E2F0"/>
                <w:sz w:val="18"/>
                <w:szCs w:val="18"/>
              </w:rPr>
              <w:t xml:space="preserve">BUILD SUCCESS</w:t>
            </w:r>
          </w:p>
        </w:tc>
      </w:tr>
    </w:tbl>
    <w:p>
      <w:pPr>
        <w:pStyle w:val="Heading1"/>
        <w:pBdr>
          <w:bottom w:val="single" w:color="2DD4BF" w:sz="10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1220"/>
          <w:sz w:val="30"/>
          <w:szCs w:val="30"/>
        </w:rPr>
        <w:t xml:space="preserve">9  Running It</w:t>
      </w:r>
    </w:p>
    <w:p>
      <w:pPr>
        <w:spacing w:after="130" w:line="276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Requires JDK 26.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9360"/>
      </w:tblGrid>
      <w:tr>
        <w:tc>
          <w:tcPr>
            <w:tcW w:type="dxa" w:w="9360"/>
            <w:shd w:fill="0F172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6E2F0"/>
                <w:sz w:val="18"/>
                <w:szCs w:val="18"/>
              </w:rPr>
              <w:t xml:space="preserve">mvn spring-boot:run          # http://localhost:8080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6E2F0"/>
                <w:sz w:val="18"/>
                <w:szCs w:val="18"/>
              </w:rPr>
              <w:t xml:space="preserve">#   login     : http://localhost:8080/  (demo / password123)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6E2F0"/>
                <w:sz w:val="18"/>
                <w:szCs w:val="18"/>
              </w:rPr>
              <w:t xml:space="preserve">#   swagger   : http://localhost:8080/swagger-ui.html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6E2F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6E2F0"/>
                <w:sz w:val="18"/>
                <w:szCs w:val="18"/>
              </w:rPr>
              <w:t xml:space="preserve">docker compose up --build    # containerised, port 8080</w:t>
            </w:r>
          </w:p>
        </w:tc>
      </w:tr>
    </w:tbl>
    <w:p>
      <w:pPr>
        <w:spacing w:after="130" w:line="276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A starting BTC-USD book and a ready demo login (</w:t>
      </w:r>
      <w:r>
        <w:rPr>
          <w:rFonts w:ascii="Consolas" w:cs="Consolas" w:eastAsia="Consolas" w:hAnsi="Consolas"/>
          <w:color w:val="0B1220"/>
          <w:sz w:val="19"/>
          <w:szCs w:val="19"/>
        </w:rPr>
        <w:t xml:space="preserve">demo / password123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 are seeded on launch; or register your own auto-funded user. Set </w:t>
      </w:r>
      <w:r>
        <w:rPr>
          <w:rFonts w:ascii="Consolas" w:cs="Consolas" w:eastAsia="Consolas" w:hAnsi="Consolas"/>
          <w:color w:val="0B1220"/>
          <w:sz w:val="19"/>
          <w:szCs w:val="19"/>
        </w:rPr>
        <w:t xml:space="preserve">GOOGLE_CLIENT_ID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to enable Google sign-in.</w:t>
      </w:r>
    </w:p>
    <w:p>
      <w:pPr>
        <w:pStyle w:val="Heading1"/>
        <w:pBdr>
          <w:bottom w:val="single" w:color="2DD4BF" w:sz="10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B1220"/>
          <w:sz w:val="30"/>
          <w:szCs w:val="30"/>
        </w:rPr>
        <w:t xml:space="preserve">10  Honesty Notes &amp; Production Extensions</w:t>
      </w:r>
    </w:p>
    <w:p>
      <w:pPr>
        <w:spacing w:after="130" w:line="276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This is a faithful model of an exchange's core, not a production venue. The simplifications, and how each would be hardened: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In-memory state.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Accounts, orders and trades are lost on restart; repositories sit behind interfaces so a JPA/PostgreSQL store with a persisted trade log can drop in.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Integer money.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Production would use a typed money abstraction and per-instrument tick/lot rules.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Authentication is implemented; authorization is coarse.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Password + Google login and per-account ownership are in place, but there are no roles, no token refresh/revocation, and users are held in memory. Production would persist users and add refresh tokens and finer scopes.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Self-trades allowed.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Real venues add self-trade prevention.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Single node.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One process with in-memory locks; a real engine is often a single-writer event loop per symbol with a replicated log for HA.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Order types.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Only LIMIT and MARKET — no stop, IOC/FOK, or post-only.</w:t>
      </w:r>
    </w:p>
    <w:p>
      <w:pPr>
        <w:spacing w:after="130" w:line="276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None of these affect the correctness of what 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is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implemented — matching, reservation, settlement and the conservation invariant all hold as tested.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2DD4B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61956e091fb14adeecaf87e50dd97c8878d7436.png"/><Relationship Id="rId8" Type="http://schemas.openxmlformats.org/officeDocument/2006/relationships/image" Target="media/3a0b8e908c228a9734673b443d9074d73cad6a1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Trading Exchange</dc:creator>
  <cp:lastModifiedBy>Un-named</cp:lastModifiedBy>
  <cp:revision>1</cp:revision>
  <dcterms:created xsi:type="dcterms:W3CDTF">2026-07-27T05:52:41.592Z</dcterms:created>
  <dcterms:modified xsi:type="dcterms:W3CDTF">2026-07-27T05:52:41.602Z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