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74755E3">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r>
      <w:r>
        <w:t xml:space="preserve">An event with a discrete outcome (e.g., a coin flip). </w:t>
      </w:r>
      <w:r>
        <w:br/>
      </w:r>
      <w:r>
        <w:t xml:space="preserve">Success </w:t>
      </w:r>
      <w:r>
        <w:br/>
      </w:r>
      <w:r>
        <w:t xml:space="preserve">The outcome of interest for a trial. Synonym “1” (as opposed to “0”) </w:t>
      </w:r>
      <w:r>
        <w:br/>
      </w:r>
      <w:r>
        <w:t xml:space="preserve">Binomial </w:t>
      </w:r>
      <w:r>
        <w:br/>
      </w:r>
      <w:r>
        <w:t xml:space="preserve">Having two outcomes. Synonyms yes/no, 0/1, binary </w:t>
      </w:r>
      <w:r>
        <w:br/>
      </w:r>
      <w:r>
        <w:t xml:space="preserve">Binomial trial </w:t>
      </w:r>
      <w:r>
        <w:br/>
      </w:r>
      <w:r>
        <w:t xml:space="preserve">A trial with two outcomes. Synonym Bernoulli trial </w:t>
      </w:r>
      <w:r>
        <w:br/>
      </w:r>
      <w:r>
        <w:t xml:space="preserve">Binomial distribution </w:t>
      </w:r>
      <w:r>
        <w:br/>
      </w:r>
      <w:r>
        <w:t>Distribution of number of successes in x trials. Synonym Bernoulli distribution</w:t>
      </w:r>
    </w:p>
    <w:p w14:paraId="2D7C4EE7" w14:textId="58C62276" w:rsidR="00082299" w:rsidRPr="00082299" w:rsidRDefault="00082299" w:rsidP="007C5E0A">
      <w:r>
        <w:rPr>
          <w:i/>
          <w:iCs/>
          <w:color w:val="7F7F7F" w:themeColor="text1" w:themeTint="80"/>
          <w:sz w:val="24"/>
          <w:szCs w:val="24"/>
        </w:rPr>
        <w:t>--------------------- 7/</w:t>
      </w:r>
      <w:r>
        <w:rPr>
          <w:i/>
          <w:iCs/>
          <w:color w:val="7F7F7F" w:themeColor="text1" w:themeTint="80"/>
          <w:sz w:val="24"/>
          <w:szCs w:val="24"/>
        </w:rPr>
        <w:t>20</w:t>
      </w:r>
      <w:r>
        <w:rPr>
          <w:i/>
          <w:iCs/>
          <w:color w:val="7F7F7F" w:themeColor="text1" w:themeTint="80"/>
          <w:sz w:val="24"/>
          <w:szCs w:val="24"/>
        </w:rPr>
        <w:t>/2024 up to page 7</w:t>
      </w:r>
      <w:r>
        <w:rPr>
          <w:i/>
          <w:iCs/>
          <w:color w:val="7F7F7F" w:themeColor="text1" w:themeTint="80"/>
          <w:sz w:val="24"/>
          <w:szCs w:val="24"/>
        </w:rPr>
        <w:t>9</w:t>
      </w:r>
    </w:p>
    <w:sectPr w:rsidR="00082299" w:rsidRPr="0008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2BB9"/>
    <w:rsid w:val="00325F87"/>
    <w:rsid w:val="0033458C"/>
    <w:rsid w:val="00342AA2"/>
    <w:rsid w:val="00351364"/>
    <w:rsid w:val="0036419D"/>
    <w:rsid w:val="00373168"/>
    <w:rsid w:val="003A3CCF"/>
    <w:rsid w:val="003B3F03"/>
    <w:rsid w:val="003C1773"/>
    <w:rsid w:val="003D3B64"/>
    <w:rsid w:val="003D6513"/>
    <w:rsid w:val="003E7A73"/>
    <w:rsid w:val="0041232F"/>
    <w:rsid w:val="00413AB1"/>
    <w:rsid w:val="0044544F"/>
    <w:rsid w:val="00453FFF"/>
    <w:rsid w:val="00467D81"/>
    <w:rsid w:val="0048482B"/>
    <w:rsid w:val="00487343"/>
    <w:rsid w:val="004916B5"/>
    <w:rsid w:val="004A0C79"/>
    <w:rsid w:val="004B1ECE"/>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26F1E"/>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A10F53"/>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C3FA0"/>
    <w:rsid w:val="00BD1FD6"/>
    <w:rsid w:val="00BF6C97"/>
    <w:rsid w:val="00C07DC5"/>
    <w:rsid w:val="00C71176"/>
    <w:rsid w:val="00C73757"/>
    <w:rsid w:val="00C77AC7"/>
    <w:rsid w:val="00CB7926"/>
    <w:rsid w:val="00CC1403"/>
    <w:rsid w:val="00CD380C"/>
    <w:rsid w:val="00D1024F"/>
    <w:rsid w:val="00D31E3C"/>
    <w:rsid w:val="00D33D05"/>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46C8"/>
    <w:rsid w:val="00E90430"/>
    <w:rsid w:val="00E927FF"/>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7638</TotalTime>
  <Pages>27</Pages>
  <Words>6150</Words>
  <Characters>35057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149</cp:revision>
  <dcterms:created xsi:type="dcterms:W3CDTF">2024-05-02T15:03:00Z</dcterms:created>
  <dcterms:modified xsi:type="dcterms:W3CDTF">2024-07-20T17:10:00Z</dcterms:modified>
</cp:coreProperties>
</file>