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29EFFF53">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w:t>
      </w:r>
      <w:r w:rsidRPr="00F77B12">
        <w:rPr>
          <w:color w:val="000000" w:themeColor="text1"/>
          <w:sz w:val="24"/>
          <w:szCs w:val="24"/>
        </w:rPr>
        <w:t>tail) hypothesis test. This means that extreme chance results in only one direction count toward the p-value</w:t>
      </w:r>
      <w:r w:rsidR="00F77B12">
        <w:rPr>
          <w:color w:val="000000" w:themeColor="text1"/>
          <w:sz w:val="24"/>
          <w:szCs w:val="24"/>
        </w:rPr>
        <w:t>.</w:t>
      </w:r>
    </w:p>
    <w:p w14:paraId="34B8B1FB" w14:textId="058E08E7" w:rsidR="00F77B12" w:rsidRPr="005E1FC1" w:rsidRDefault="005E1FC1">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17</w:t>
      </w:r>
      <w:r>
        <w:rPr>
          <w:i/>
          <w:iCs/>
          <w:color w:val="7F7F7F" w:themeColor="text1" w:themeTint="80"/>
          <w:sz w:val="24"/>
          <w:szCs w:val="24"/>
        </w:rPr>
        <w:t>/2024 up to page 95</w:t>
      </w:r>
    </w:p>
    <w:sectPr w:rsidR="00F77B12" w:rsidRPr="005E1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78E8"/>
    <w:rsid w:val="000E7A2D"/>
    <w:rsid w:val="000F1591"/>
    <w:rsid w:val="00100D43"/>
    <w:rsid w:val="001105AE"/>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128B"/>
    <w:rsid w:val="001E5E31"/>
    <w:rsid w:val="00203BAB"/>
    <w:rsid w:val="0020442C"/>
    <w:rsid w:val="0022324B"/>
    <w:rsid w:val="00227536"/>
    <w:rsid w:val="00230EB8"/>
    <w:rsid w:val="002378EF"/>
    <w:rsid w:val="00244600"/>
    <w:rsid w:val="00263576"/>
    <w:rsid w:val="00266B66"/>
    <w:rsid w:val="00270629"/>
    <w:rsid w:val="00273D7D"/>
    <w:rsid w:val="00296440"/>
    <w:rsid w:val="002A229D"/>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6419D"/>
    <w:rsid w:val="00373168"/>
    <w:rsid w:val="003974E7"/>
    <w:rsid w:val="003A3CCF"/>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53D4"/>
    <w:rsid w:val="004D6044"/>
    <w:rsid w:val="004D7317"/>
    <w:rsid w:val="004E3290"/>
    <w:rsid w:val="004E7693"/>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B36"/>
    <w:rsid w:val="00646792"/>
    <w:rsid w:val="00662352"/>
    <w:rsid w:val="00684469"/>
    <w:rsid w:val="006920C7"/>
    <w:rsid w:val="006B27C8"/>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2ED9"/>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A4C68"/>
    <w:rsid w:val="00CB7926"/>
    <w:rsid w:val="00CC1403"/>
    <w:rsid w:val="00CD380C"/>
    <w:rsid w:val="00CF4106"/>
    <w:rsid w:val="00D1024F"/>
    <w:rsid w:val="00D240A2"/>
    <w:rsid w:val="00D31E3C"/>
    <w:rsid w:val="00D33D05"/>
    <w:rsid w:val="00D377E9"/>
    <w:rsid w:val="00D622D3"/>
    <w:rsid w:val="00D62F1B"/>
    <w:rsid w:val="00D63547"/>
    <w:rsid w:val="00D73E0F"/>
    <w:rsid w:val="00D76101"/>
    <w:rsid w:val="00D766BE"/>
    <w:rsid w:val="00D8548F"/>
    <w:rsid w:val="00D857CD"/>
    <w:rsid w:val="00D93A7D"/>
    <w:rsid w:val="00DA05E8"/>
    <w:rsid w:val="00DC0196"/>
    <w:rsid w:val="00DC43DB"/>
    <w:rsid w:val="00DC6D55"/>
    <w:rsid w:val="00DC6DE6"/>
    <w:rsid w:val="00DF4936"/>
    <w:rsid w:val="00E10E1A"/>
    <w:rsid w:val="00E1125E"/>
    <w:rsid w:val="00E139C4"/>
    <w:rsid w:val="00E158B3"/>
    <w:rsid w:val="00E23EED"/>
    <w:rsid w:val="00E24CB5"/>
    <w:rsid w:val="00E2625B"/>
    <w:rsid w:val="00E27B93"/>
    <w:rsid w:val="00E31A0E"/>
    <w:rsid w:val="00E33210"/>
    <w:rsid w:val="00E42654"/>
    <w:rsid w:val="00E42880"/>
    <w:rsid w:val="00E439E0"/>
    <w:rsid w:val="00E526A7"/>
    <w:rsid w:val="00E60006"/>
    <w:rsid w:val="00E60E68"/>
    <w:rsid w:val="00E72775"/>
    <w:rsid w:val="00E746C8"/>
    <w:rsid w:val="00E755A8"/>
    <w:rsid w:val="00E90430"/>
    <w:rsid w:val="00E927FF"/>
    <w:rsid w:val="00E96B5B"/>
    <w:rsid w:val="00E96B69"/>
    <w:rsid w:val="00EA2CF7"/>
    <w:rsid w:val="00EA4B90"/>
    <w:rsid w:val="00EC18B3"/>
    <w:rsid w:val="00EC2576"/>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F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7887</TotalTime>
  <Pages>35</Pages>
  <Words>8452</Words>
  <Characters>48183</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228</cp:revision>
  <dcterms:created xsi:type="dcterms:W3CDTF">2024-05-02T15:03:00Z</dcterms:created>
  <dcterms:modified xsi:type="dcterms:W3CDTF">2024-08-17T17:35:00Z</dcterms:modified>
</cp:coreProperties>
</file>