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Default="002D6FF4" w:rsidP="00C11C2C">
      <w:pPr>
        <w:rPr>
          <w:sz w:val="22"/>
          <w:szCs w:val="22"/>
        </w:rPr>
      </w:pPr>
      <w:r w:rsidRPr="002D6FF4">
        <w:rPr>
          <w:b/>
          <w:bCs/>
          <w:sz w:val="22"/>
          <w:szCs w:val="22"/>
        </w:rPr>
        <w:t xml:space="preserve">Ans - </w:t>
      </w:r>
      <w:r w:rsidRPr="002D6FF4">
        <w:rPr>
          <w:sz w:val="22"/>
          <w:szCs w:val="22"/>
        </w:rPr>
        <w:t>Multi-head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This ensures all output values lie between 0 and 1 and sum to 1,making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divergence measures the difference between two probability distributions P (true distribution) and Q(predicted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noProof/>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p w14:paraId="0D7E5291" w14:textId="49D7DB8E" w:rsidR="002A5056" w:rsidRDefault="002A5056" w:rsidP="00CE59D7">
      <w:pPr>
        <w:rPr>
          <w:sz w:val="22"/>
          <w:szCs w:val="22"/>
        </w:rPr>
      </w:pPr>
      <w:r>
        <w:rPr>
          <w:sz w:val="22"/>
          <w:szCs w:val="22"/>
        </w:rPr>
        <w:t>Q36: Chain of thoughts</w:t>
      </w:r>
    </w:p>
    <w:p w14:paraId="457041CD" w14:textId="70789A92" w:rsidR="002A5056" w:rsidRDefault="00CC024E" w:rsidP="00CE59D7">
      <w:pPr>
        <w:rPr>
          <w:sz w:val="22"/>
          <w:szCs w:val="22"/>
        </w:rPr>
      </w:pPr>
      <w:r w:rsidRPr="00CC024E">
        <w:rPr>
          <w:sz w:val="22"/>
          <w:szCs w:val="22"/>
        </w:rPr>
        <w:t>Chai n-of-Thought (</w:t>
      </w:r>
      <w:proofErr w:type="spellStart"/>
      <w:r w:rsidRPr="00CC024E">
        <w:rPr>
          <w:sz w:val="22"/>
          <w:szCs w:val="22"/>
        </w:rPr>
        <w:t>CoT</w:t>
      </w:r>
      <w:proofErr w:type="spellEnd"/>
      <w:r w:rsidRPr="00CC024E">
        <w:rPr>
          <w:sz w:val="22"/>
          <w:szCs w:val="22"/>
        </w:rPr>
        <w:t>) prompting helps LLMs handle complex reasoning by encouraging them to break down tasks into smaller, sequential steps. This improves their performance by</w:t>
      </w:r>
    </w:p>
    <w:p w14:paraId="2324055E" w14:textId="65EB9E3D" w:rsidR="00CC024E" w:rsidRDefault="00CC024E" w:rsidP="00CE59D7">
      <w:pPr>
        <w:rPr>
          <w:b/>
          <w:bCs/>
          <w:sz w:val="22"/>
          <w:szCs w:val="22"/>
        </w:rPr>
      </w:pPr>
      <w:r w:rsidRPr="00CC024E">
        <w:rPr>
          <w:b/>
          <w:bCs/>
          <w:sz w:val="22"/>
          <w:szCs w:val="22"/>
        </w:rPr>
        <w:t>Q37. What is the difference between discriminative AI and Generative AI</w:t>
      </w:r>
    </w:p>
    <w:p w14:paraId="4207B83D" w14:textId="21C4BA0B" w:rsidR="00CC024E" w:rsidRDefault="00CC024E" w:rsidP="00CE59D7">
      <w:pPr>
        <w:rPr>
          <w:b/>
          <w:bCs/>
          <w:sz w:val="22"/>
          <w:szCs w:val="22"/>
        </w:rPr>
      </w:pPr>
      <w:r>
        <w:rPr>
          <w:b/>
          <w:bCs/>
          <w:sz w:val="22"/>
          <w:szCs w:val="22"/>
        </w:rPr>
        <w:t xml:space="preserve">Text classification and </w:t>
      </w:r>
      <w:r w:rsidR="00FD5DE1">
        <w:rPr>
          <w:b/>
          <w:bCs/>
          <w:sz w:val="22"/>
          <w:szCs w:val="22"/>
        </w:rPr>
        <w:t>GPT like ai</w:t>
      </w:r>
    </w:p>
    <w:p w14:paraId="1B136770" w14:textId="3650A9AC" w:rsidR="00FD5DE1" w:rsidRDefault="00FD5DE1" w:rsidP="00CE59D7">
      <w:pPr>
        <w:rPr>
          <w:b/>
          <w:bCs/>
          <w:sz w:val="22"/>
          <w:szCs w:val="22"/>
        </w:rPr>
      </w:pPr>
      <w:r w:rsidRPr="00FD5DE1">
        <w:rPr>
          <w:b/>
          <w:bCs/>
          <w:sz w:val="22"/>
          <w:szCs w:val="22"/>
        </w:rPr>
        <w:t>Q38. How does knowledge graph integration enhance LLMs?</w:t>
      </w:r>
    </w:p>
    <w:p w14:paraId="43672FF8" w14:textId="3F69C085" w:rsidR="00FD5DE1" w:rsidRDefault="00FD5DE1" w:rsidP="00CE59D7">
      <w:pPr>
        <w:rPr>
          <w:b/>
          <w:bCs/>
          <w:sz w:val="22"/>
          <w:szCs w:val="22"/>
        </w:rPr>
      </w:pPr>
      <w:r>
        <w:rPr>
          <w:b/>
          <w:bCs/>
          <w:sz w:val="22"/>
          <w:szCs w:val="22"/>
        </w:rPr>
        <w:t>Reasoning, cross check facts and contextual understanding.</w:t>
      </w:r>
    </w:p>
    <w:p w14:paraId="71CC28AE" w14:textId="0083B826" w:rsidR="00FD5DE1" w:rsidRDefault="00F82415" w:rsidP="00CE59D7">
      <w:pPr>
        <w:rPr>
          <w:b/>
          <w:bCs/>
          <w:sz w:val="22"/>
          <w:szCs w:val="22"/>
        </w:rPr>
      </w:pPr>
      <w:r w:rsidRPr="00F82415">
        <w:rPr>
          <w:b/>
          <w:bCs/>
          <w:sz w:val="22"/>
          <w:szCs w:val="22"/>
        </w:rPr>
        <w:t>Q39. What is zero-shot learning, and how does it apply to LLMs?</w:t>
      </w:r>
    </w:p>
    <w:p w14:paraId="7E1975CF" w14:textId="017B2F55" w:rsidR="00F82415" w:rsidRDefault="00F82415" w:rsidP="00CE59D7">
      <w:pPr>
        <w:rPr>
          <w:sz w:val="22"/>
          <w:szCs w:val="22"/>
        </w:rPr>
      </w:pPr>
      <w:r w:rsidRPr="00F82415">
        <w:rPr>
          <w:sz w:val="22"/>
          <w:szCs w:val="22"/>
        </w:rPr>
        <w:t>Zero-shot learning enables LLMs to perform tasks they haven't been explicitly trained for by leveraging their broad understanding of language and general concepts. Instead of needing task-specific finetuning, the model can generate relevant outputs based on the instructions provided in the prompt.</w:t>
      </w:r>
    </w:p>
    <w:p w14:paraId="6F0885D2" w14:textId="3AF20F3A" w:rsidR="00F82415" w:rsidRDefault="00EC69D8" w:rsidP="00CE59D7">
      <w:pPr>
        <w:rPr>
          <w:b/>
          <w:bCs/>
          <w:sz w:val="22"/>
          <w:szCs w:val="22"/>
        </w:rPr>
      </w:pPr>
      <w:r w:rsidRPr="00EC69D8">
        <w:rPr>
          <w:b/>
          <w:bCs/>
          <w:sz w:val="22"/>
          <w:szCs w:val="22"/>
        </w:rPr>
        <w:lastRenderedPageBreak/>
        <w:t xml:space="preserve">Q40. How does Adaptive </w:t>
      </w:r>
      <w:proofErr w:type="spellStart"/>
      <w:r w:rsidRPr="00EC69D8">
        <w:rPr>
          <w:b/>
          <w:bCs/>
          <w:sz w:val="22"/>
          <w:szCs w:val="22"/>
        </w:rPr>
        <w:t>Softmax</w:t>
      </w:r>
      <w:proofErr w:type="spellEnd"/>
      <w:r w:rsidRPr="00EC69D8">
        <w:rPr>
          <w:b/>
          <w:bCs/>
          <w:sz w:val="22"/>
          <w:szCs w:val="22"/>
        </w:rPr>
        <w:t xml:space="preserve"> speed up large language models?</w:t>
      </w:r>
    </w:p>
    <w:p w14:paraId="2DF9EC10" w14:textId="5BD63B76" w:rsidR="00EC69D8" w:rsidRPr="00104CF4" w:rsidRDefault="00EC69D8" w:rsidP="00CE59D7">
      <w:pPr>
        <w:rPr>
          <w:sz w:val="22"/>
          <w:szCs w:val="22"/>
        </w:rPr>
      </w:pPr>
      <w:r w:rsidRPr="00EC69D8">
        <w:rPr>
          <w:sz w:val="22"/>
          <w:szCs w:val="22"/>
        </w:rPr>
        <w:t xml:space="preserve">Adaptive </w:t>
      </w:r>
      <w:proofErr w:type="spellStart"/>
      <w:r w:rsidRPr="00EC69D8">
        <w:rPr>
          <w:sz w:val="22"/>
          <w:szCs w:val="22"/>
        </w:rPr>
        <w:t>Softmax</w:t>
      </w:r>
      <w:proofErr w:type="spellEnd"/>
      <w:r w:rsidRPr="00EC69D8">
        <w:rPr>
          <w:sz w:val="22"/>
          <w:szCs w:val="22"/>
        </w:rPr>
        <w:t xml:space="preserve"> accelerates LLMs by categorizing words into frequency groups, allowing for fewer computations for infrequent words. This approach lowers overall computational costs while preserving accuracy, making it effective for efficiently managing large vocabularies.</w:t>
      </w:r>
    </w:p>
    <w:sectPr w:rsidR="00EC69D8" w:rsidRPr="0010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87249"/>
    <w:rsid w:val="000B4002"/>
    <w:rsid w:val="000C266D"/>
    <w:rsid w:val="000E1453"/>
    <w:rsid w:val="000E78E8"/>
    <w:rsid w:val="00104CF4"/>
    <w:rsid w:val="00110B8B"/>
    <w:rsid w:val="001370D2"/>
    <w:rsid w:val="001549EF"/>
    <w:rsid w:val="00163CEF"/>
    <w:rsid w:val="001718B3"/>
    <w:rsid w:val="00183EC1"/>
    <w:rsid w:val="001910CB"/>
    <w:rsid w:val="001A5BA8"/>
    <w:rsid w:val="00207BF3"/>
    <w:rsid w:val="00212E97"/>
    <w:rsid w:val="00243399"/>
    <w:rsid w:val="00252FF4"/>
    <w:rsid w:val="00260D66"/>
    <w:rsid w:val="00285D84"/>
    <w:rsid w:val="00297640"/>
    <w:rsid w:val="002A2CD3"/>
    <w:rsid w:val="002A5056"/>
    <w:rsid w:val="002B03D6"/>
    <w:rsid w:val="002B6695"/>
    <w:rsid w:val="002D0F4B"/>
    <w:rsid w:val="002D6FF4"/>
    <w:rsid w:val="003136A1"/>
    <w:rsid w:val="00320878"/>
    <w:rsid w:val="00322840"/>
    <w:rsid w:val="00330F02"/>
    <w:rsid w:val="00385F3C"/>
    <w:rsid w:val="003F042B"/>
    <w:rsid w:val="003F75CF"/>
    <w:rsid w:val="004172CF"/>
    <w:rsid w:val="004345DD"/>
    <w:rsid w:val="00455565"/>
    <w:rsid w:val="00467E30"/>
    <w:rsid w:val="00494E08"/>
    <w:rsid w:val="004C458A"/>
    <w:rsid w:val="004E66C3"/>
    <w:rsid w:val="00510ED7"/>
    <w:rsid w:val="0052015D"/>
    <w:rsid w:val="00521760"/>
    <w:rsid w:val="00521ACD"/>
    <w:rsid w:val="0055057A"/>
    <w:rsid w:val="005976C9"/>
    <w:rsid w:val="005A543A"/>
    <w:rsid w:val="00600CCD"/>
    <w:rsid w:val="00625B83"/>
    <w:rsid w:val="0064185E"/>
    <w:rsid w:val="00667C62"/>
    <w:rsid w:val="006914C2"/>
    <w:rsid w:val="006A4D59"/>
    <w:rsid w:val="006A5FC9"/>
    <w:rsid w:val="006C48AB"/>
    <w:rsid w:val="006D0F48"/>
    <w:rsid w:val="006E05DB"/>
    <w:rsid w:val="00704B3E"/>
    <w:rsid w:val="00715498"/>
    <w:rsid w:val="00773CC9"/>
    <w:rsid w:val="00787207"/>
    <w:rsid w:val="007B77B6"/>
    <w:rsid w:val="007F6860"/>
    <w:rsid w:val="0084200B"/>
    <w:rsid w:val="008448F0"/>
    <w:rsid w:val="00895B4A"/>
    <w:rsid w:val="008A5A97"/>
    <w:rsid w:val="008C65F2"/>
    <w:rsid w:val="008D4554"/>
    <w:rsid w:val="008D7F5F"/>
    <w:rsid w:val="008E2C7A"/>
    <w:rsid w:val="008E537C"/>
    <w:rsid w:val="008F6CBA"/>
    <w:rsid w:val="009320FF"/>
    <w:rsid w:val="00961015"/>
    <w:rsid w:val="009809AE"/>
    <w:rsid w:val="009A30F0"/>
    <w:rsid w:val="009B2597"/>
    <w:rsid w:val="009E4A08"/>
    <w:rsid w:val="00A04559"/>
    <w:rsid w:val="00A438DC"/>
    <w:rsid w:val="00A63188"/>
    <w:rsid w:val="00A65944"/>
    <w:rsid w:val="00AA55E3"/>
    <w:rsid w:val="00AD2206"/>
    <w:rsid w:val="00AD3C17"/>
    <w:rsid w:val="00B2012A"/>
    <w:rsid w:val="00B31397"/>
    <w:rsid w:val="00B65CE9"/>
    <w:rsid w:val="00B660CF"/>
    <w:rsid w:val="00B67E87"/>
    <w:rsid w:val="00B8358C"/>
    <w:rsid w:val="00BC2951"/>
    <w:rsid w:val="00BD567C"/>
    <w:rsid w:val="00C114AF"/>
    <w:rsid w:val="00C11C2C"/>
    <w:rsid w:val="00C32EEB"/>
    <w:rsid w:val="00C47B24"/>
    <w:rsid w:val="00CC024E"/>
    <w:rsid w:val="00CD0DD0"/>
    <w:rsid w:val="00CE59D7"/>
    <w:rsid w:val="00D4298C"/>
    <w:rsid w:val="00D53A61"/>
    <w:rsid w:val="00D62635"/>
    <w:rsid w:val="00D71C47"/>
    <w:rsid w:val="00DC1BC0"/>
    <w:rsid w:val="00DD7FD2"/>
    <w:rsid w:val="00DE4EDB"/>
    <w:rsid w:val="00E53F30"/>
    <w:rsid w:val="00E57140"/>
    <w:rsid w:val="00E84106"/>
    <w:rsid w:val="00EC122E"/>
    <w:rsid w:val="00EC69D8"/>
    <w:rsid w:val="00F037BB"/>
    <w:rsid w:val="00F47666"/>
    <w:rsid w:val="00F73DAD"/>
    <w:rsid w:val="00F82415"/>
    <w:rsid w:val="00F96AC8"/>
    <w:rsid w:val="00FA3C46"/>
    <w:rsid w:val="00FD5D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2606</Words>
  <Characters>14858</Characters>
  <Application>Microsoft Office Word</Application>
  <DocSecurity>0</DocSecurity>
  <Lines>123</Lines>
  <Paragraphs>34</Paragraphs>
  <ScaleCrop>false</ScaleCrop>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111</cp:revision>
  <dcterms:created xsi:type="dcterms:W3CDTF">2025-01-01T11:28:00Z</dcterms:created>
  <dcterms:modified xsi:type="dcterms:W3CDTF">2025-01-08T18:02:00Z</dcterms:modified>
</cp:coreProperties>
</file>