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 — True Cloud Migration v1</w:t>
      </w:r>
    </w:p>
    <w:p>
      <w:r>
        <w:t>UR · revision r1 · CONFIRMED · confirmed by trial at 2026-08-16T02:10:57.102070 · project True Cloud Migration · generated 2026-08-16T02:10:57.293571+00:00</w:t>
      </w:r>
    </w:p>
    <w:p>
      <w:pPr>
        <w:pStyle w:val="Heading1"/>
      </w:pPr>
      <w:r>
        <w:t>1. Project Purpose</w:t>
      </w:r>
    </w:p>
    <w:p>
      <w:r>
        <w:t>Deliver high-level and detailed design plus as-built documentation and migrations for the TRUE CLOUD MIGRATION program.</w:t>
      </w:r>
    </w:p>
    <w:p>
      <w:pPr>
        <w:pStyle w:val="Heading1"/>
      </w:pPr>
      <w:r>
        <w:t>2. Business / Transformation Context</w:t>
      </w:r>
    </w:p>
    <w:p>
      <w:r>
        <w:t>Customer SOW defines two tracks: Landing Zone / Foundational Services and Mass Migration Factory.</w:t>
      </w:r>
    </w:p>
    <w:p>
      <w:pPr>
        <w:pStyle w:val="Heading1"/>
      </w:pPr>
      <w:r>
        <w:t>3. Scope</w:t>
      </w:r>
    </w:p>
    <w:p>
      <w:r>
        <w:t>Track 1 foundational landing zone and core services; Track 2 mass migration factory and pilot.</w:t>
      </w:r>
    </w:p>
    <w:p>
      <w:pPr>
        <w:pStyle w:val="Heading1"/>
      </w:pPr>
      <w:r>
        <w:t>4. Track 1 Scope</w:t>
      </w:r>
    </w:p>
    <w:p>
      <w:r>
        <w:t>Legacy Zone HLD/LLD, as-built, core infrastructure services (AD/DNS/firewall/Jump Host/CyberArk), connectivity assessment.</w:t>
      </w:r>
    </w:p>
    <w:p>
      <w:pPr>
        <w:pStyle w:val="Heading1"/>
      </w:pPr>
      <w:r>
        <w:t>5. Track 2 Scope</w:t>
      </w:r>
    </w:p>
    <w:p>
      <w:r>
        <w:t>Migration factory design, network foundation as-built, MGN agent enablement, pilot verification, runbooks.</w:t>
      </w:r>
    </w:p>
    <w:p>
      <w:pPr>
        <w:pStyle w:val="Heading1"/>
      </w:pPr>
      <w:r>
        <w:t>6. Functional / Infrastructure Requirements</w:t>
      </w:r>
    </w:p>
    <w:p>
      <w:r>
        <w:t>Landing zone, legacy zone, core services, migration factory components.</w:t>
      </w:r>
    </w:p>
    <w:p>
      <w:pPr>
        <w:pStyle w:val="Heading1"/>
      </w:pPr>
      <w:r>
        <w:t>7. Connectivity Requirements</w:t>
      </w:r>
    </w:p>
    <w:p>
      <w:r>
        <w:t>AWS &lt;-&gt; on-premises, Direct Connect, AWS &lt;-&gt; Azure, AWS &lt;-&gt; GCP; private-path replication.</w:t>
      </w:r>
    </w:p>
    <w:p>
      <w:pPr>
        <w:pStyle w:val="Heading1"/>
      </w:pPr>
      <w:r>
        <w:t>8. Security / Identity Requirements</w:t>
      </w:r>
    </w:p>
    <w:p>
      <w:r>
        <w:t>Security boundaries, firewall/security controls, AD, CyberArk target model.</w:t>
      </w:r>
    </w:p>
    <w:p>
      <w:pPr>
        <w:pStyle w:val="Heading1"/>
      </w:pPr>
      <w:r>
        <w:t>9. Migration Requirements</w:t>
      </w:r>
    </w:p>
    <w:p>
      <w:r>
        <w:t>Jump Host + CyberArk migration; MGN replication; migration waves and runbooks.</w:t>
      </w:r>
    </w:p>
    <w:p>
      <w:pPr>
        <w:pStyle w:val="Heading1"/>
      </w:pPr>
      <w:r>
        <w:t>10. Verification Requirements</w:t>
      </w:r>
    </w:p>
    <w:p>
      <w:r>
        <w:t>Pilot test report and verification summary confirming private-path behavior and health.</w:t>
      </w:r>
    </w:p>
    <w:p>
      <w:pPr>
        <w:pStyle w:val="Heading1"/>
      </w:pPr>
      <w:r>
        <w:t>11. Documentation Deliverables</w:t>
      </w:r>
    </w:p>
    <w:p>
      <w:r>
        <w:t>HLD/LLD, as-built, design documents, runbooks, operational handover.</w:t>
      </w:r>
    </w:p>
    <w:p>
      <w:pPr>
        <w:pStyle w:val="Heading1"/>
      </w:pPr>
      <w:r>
        <w:t>12. Operational Handover Requirements</w:t>
      </w:r>
    </w:p>
    <w:p>
      <w:r>
        <w:t>Runbooks and operational handover for migration waves and factory execution.</w:t>
      </w:r>
    </w:p>
    <w:p>
      <w:pPr>
        <w:pStyle w:val="Heading1"/>
      </w:pPr>
      <w:r>
        <w:t>13. Assumptions</w:t>
      </w:r>
    </w:p>
    <w:p>
      <w:r>
        <w:t>See project memory — private-path migration intent; Thailand Region target.</w:t>
      </w:r>
    </w:p>
    <w:p>
      <w:pPr>
        <w:pStyle w:val="Heading1"/>
      </w:pPr>
      <w:r>
        <w:t>14. Clarifications</w:t>
      </w:r>
    </w:p>
    <w:p>
      <w:r>
        <w:t>Account/OU structure, CIDRs, Direct Connect bandwidth, pilot acceptance criteria (open).</w:t>
      </w:r>
    </w:p>
    <w:p>
      <w:pPr>
        <w:pStyle w:val="Heading1"/>
      </w:pPr>
      <w:r>
        <w:t>15. Out of Scope</w:t>
      </w:r>
    </w:p>
    <w:p>
      <w:r>
        <w:t>Application database design and customer APIs are not stated in the SOW (NOT_APPLICABLE).</w:t>
      </w:r>
    </w:p>
    <w:p>
      <w:pPr>
        <w:pStyle w:val="Heading1"/>
      </w:pPr>
      <w:r>
        <w:t>16. Acceptance Expectations</w:t>
      </w:r>
    </w:p>
    <w:p>
      <w:r>
        <w:t>Structured, traceable, reviewable, reproducible design package accepted by engineering.</w:t>
      </w:r>
    </w:p>
    <w:p>
      <w:pPr>
        <w:pStyle w:val="Heading1"/>
      </w:pPr>
      <w:r>
        <w:t>17. Requirement Traceability</w:t>
      </w:r>
    </w:p>
    <w:p>
      <w:r>
        <w:t>Each requirement traces to a UR section, DR section, architecture object, or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