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B3514" w14:textId="77777777" w:rsidR="00AF74C7" w:rsidRDefault="00000000">
      <w:pPr>
        <w:spacing w:after="20"/>
      </w:pPr>
      <w:r>
        <w:rPr>
          <w:b/>
          <w:color w:val="5A5A5A"/>
          <w:sz w:val="17"/>
        </w:rPr>
        <w:t>Quantitative Business Evidence Verifier - Test Fixture</w:t>
      </w:r>
    </w:p>
    <w:p w14:paraId="00F003B5" w14:textId="77777777" w:rsidR="00AF74C7" w:rsidRDefault="00000000">
      <w:pPr>
        <w:pStyle w:val="Title"/>
      </w:pPr>
      <w:r>
        <w:t>Canadian Grocery Value and Demand Snapshot</w:t>
      </w:r>
    </w:p>
    <w:p w14:paraId="12CAD627" w14:textId="77777777" w:rsidR="00AF74C7" w:rsidRDefault="00000000">
      <w:pPr>
        <w:spacing w:after="120"/>
      </w:pPr>
      <w:r>
        <w:rPr>
          <w:i/>
          <w:color w:val="5A5A5A"/>
        </w:rPr>
        <w:t>Market intelligence and business strategy briefing</w:t>
      </w:r>
    </w:p>
    <w:p w14:paraId="0A864DC5" w14:textId="77777777" w:rsidR="00AF74C7" w:rsidRDefault="00000000">
      <w:pPr>
        <w:pStyle w:val="Heading1"/>
        <w:spacing w:after="80"/>
      </w:pPr>
      <w:r>
        <w:t>Executive Summary</w:t>
      </w:r>
    </w:p>
    <w:p w14:paraId="5D623500" w14:textId="0300B448" w:rsidR="00AF74C7" w:rsidRDefault="00000000" w:rsidP="006316BF">
      <w:pPr>
        <w:keepLines/>
        <w:spacing w:after="60"/>
      </w:pPr>
      <w:r>
        <w:t xml:space="preserve">Food purchased from stores </w:t>
      </w:r>
      <w:r w:rsidR="003F0B67">
        <w:t xml:space="preserve">accelerated, rising </w:t>
      </w:r>
      <w:r>
        <w:t xml:space="preserve">4.3% </w:t>
      </w:r>
      <w:r w:rsidR="00857EF1">
        <w:t>year over year in May</w:t>
      </w:r>
      <w:r w:rsidR="00074195">
        <w:t>, for the 16</w:t>
      </w:r>
      <w:r w:rsidR="00074195" w:rsidRPr="00074195">
        <w:rPr>
          <w:vertAlign w:val="superscript"/>
        </w:rPr>
        <w:t>th</w:t>
      </w:r>
      <w:r w:rsidR="00074195">
        <w:t xml:space="preserve"> consecutive month</w:t>
      </w:r>
      <w:r>
        <w:t>, compared with 3.2% headline CPI inflation</w:t>
      </w:r>
      <w:r w:rsidR="00857EF1">
        <w:t xml:space="preserve"> in 2026 </w:t>
      </w:r>
      <w:r>
        <w:t>[1].</w:t>
      </w:r>
      <w:r w:rsidR="006316BF">
        <w:t xml:space="preserve"> </w:t>
      </w:r>
      <w:r>
        <w:t>The gap suggests that a household necessity was becoming more expensive than the average basket of goods and services.</w:t>
      </w:r>
      <w:r w:rsidR="006316BF">
        <w:t xml:space="preserve"> </w:t>
      </w:r>
      <w:r>
        <w:t>For a recurring purchase category, that difference can tighten the room consumers have to absorb other routine expenses or discretionary purchases.</w:t>
      </w:r>
      <w:r w:rsidR="006316BF">
        <w:t xml:space="preserve"> </w:t>
      </w:r>
      <w:r>
        <w:t>Total Canadian retail sales were $73.0 billion in April 2026, up 0.5% from March [2].</w:t>
      </w:r>
      <w:r w:rsidR="006316BF">
        <w:t xml:space="preserve"> </w:t>
      </w:r>
      <w:r>
        <w:t>The month-over-month increase indicates that aggregate retail spending was still moving upward.</w:t>
      </w:r>
      <w:r w:rsidR="006316BF">
        <w:t xml:space="preserve"> </w:t>
      </w:r>
      <w:r>
        <w:t>Because the statistic is reported in current dollars, it is most useful as a measure of retail activity and revenue rather than an automatic measure of physical units purchased.</w:t>
      </w:r>
      <w:r w:rsidR="006316BF">
        <w:t xml:space="preserve"> </w:t>
      </w:r>
      <w:r>
        <w:t>This briefing separates price pressure from retailer-reported performance so that rising dollar sales are not automatically treated as a sign of stronger consumer wellbeing.</w:t>
      </w:r>
    </w:p>
    <w:p w14:paraId="1B982C90" w14:textId="77777777" w:rsidR="00AF74C7" w:rsidRDefault="00000000">
      <w:pPr>
        <w:pStyle w:val="Heading1"/>
        <w:spacing w:after="80"/>
      </w:pPr>
      <w:r>
        <w:t>Consumer Cost Environment</w:t>
      </w:r>
    </w:p>
    <w:p w14:paraId="37F24D28" w14:textId="77777777" w:rsidR="00AF74C7" w:rsidRDefault="00000000" w:rsidP="006316BF">
      <w:pPr>
        <w:keepLines/>
        <w:spacing w:after="60"/>
        <w:ind w:firstLine="720"/>
      </w:pPr>
      <w:r>
        <w:t>On an annual-average basis, grocery prices increased 3.5% in 2025 after rising 2.2% in 2024 [3].</w:t>
      </w:r>
    </w:p>
    <w:p w14:paraId="6586BDE3" w14:textId="77777777" w:rsidR="00AF74C7" w:rsidRDefault="00000000">
      <w:pPr>
        <w:keepLines/>
        <w:spacing w:after="60"/>
      </w:pPr>
      <w:r>
        <w:t>The year-over-year comparison points to faster grocery price growth in the later period rather than a clear easing trend.</w:t>
      </w:r>
      <w:r w:rsidR="006316BF">
        <w:t xml:space="preserve"> </w:t>
      </w:r>
      <w:r>
        <w:t>That matters for planning because annual-average changes influence household budgets over a full year, not only during an isolated high-inflation month.</w:t>
      </w:r>
    </w:p>
    <w:p w14:paraId="7D2F9CCE" w14:textId="77777777" w:rsidR="00AF74C7" w:rsidRDefault="00000000" w:rsidP="006316BF">
      <w:pPr>
        <w:keepLines/>
        <w:spacing w:after="60"/>
        <w:ind w:firstLine="720"/>
      </w:pPr>
      <w:r>
        <w:t>The 2026 Canada Food Price Report forecast that overall food prices would increase by 4% to 6% during 2026 [8].</w:t>
      </w:r>
      <w:r w:rsidR="006316BF">
        <w:t xml:space="preserve"> </w:t>
      </w:r>
      <w:r>
        <w:t>The forecast keeps food affordability relevant to commercial planning even before the year is complete.</w:t>
      </w:r>
    </w:p>
    <w:p w14:paraId="269F87E5" w14:textId="77777777" w:rsidR="00AF74C7" w:rsidRDefault="00000000">
      <w:pPr>
        <w:keepLines/>
        <w:spacing w:after="60"/>
      </w:pPr>
      <w:r>
        <w:t>A forecast is not an observed result, but it supports maintaining flexibility in pricing, promotions, and assortment decisions while the cost outlook remains unsettled.</w:t>
      </w:r>
    </w:p>
    <w:p w14:paraId="512D15CF" w14:textId="77777777" w:rsidR="00AF74C7" w:rsidRDefault="00000000">
      <w:pPr>
        <w:keepLines/>
        <w:spacing w:after="60"/>
      </w:pPr>
      <w:r>
        <w:t>Fresh vegetable prices rose 9.0% year over year in May 2026 [1].</w:t>
      </w:r>
      <w:r w:rsidR="006316BF">
        <w:t xml:space="preserve"> </w:t>
      </w:r>
      <w:r>
        <w:t>This is materially above the reported food-from-stores increase and shows that inflation pressure can be uneven across grocery categories.</w:t>
      </w:r>
      <w:r w:rsidR="006316BF">
        <w:t xml:space="preserve"> </w:t>
      </w:r>
      <w:r>
        <w:t>For consumers, volatility in a frequently purchased fresh category can be more noticeable than an average grocery-price measure suggests.</w:t>
      </w:r>
    </w:p>
    <w:p w14:paraId="49AA9A30" w14:textId="77777777" w:rsidR="00AF74C7" w:rsidRDefault="00000000">
      <w:pPr>
        <w:pStyle w:val="Heading1"/>
        <w:spacing w:after="80"/>
      </w:pPr>
      <w:r>
        <w:t>Retailer Performance and Operating Signals</w:t>
      </w:r>
    </w:p>
    <w:p w14:paraId="30EA042C" w14:textId="77777777" w:rsidR="00AF74C7" w:rsidRDefault="00000000" w:rsidP="006316BF">
      <w:pPr>
        <w:keepLines/>
        <w:spacing w:after="60"/>
        <w:ind w:firstLine="720"/>
      </w:pPr>
      <w:r>
        <w:t>Loblaw reported first-quarter retail revenue of $14.484 billion, up 4.2% from the prior-year quarter [4].</w:t>
      </w:r>
      <w:r w:rsidR="006316BF">
        <w:t xml:space="preserve"> </w:t>
      </w:r>
      <w:r>
        <w:t>The result shows that the retailer generated higher dollar revenue than in the comparable period.</w:t>
      </w:r>
      <w:r w:rsidR="006316BF">
        <w:t xml:space="preserve"> </w:t>
      </w:r>
      <w:r>
        <w:t xml:space="preserve">Revenue growth can arise from a mix of price, volume, sales mix, and timing effects, so the figure is best used as a performance signal </w:t>
      </w:r>
      <w:r w:rsidR="006316BF">
        <w:t xml:space="preserve">to be interpreted rather than as </w:t>
      </w:r>
      <w:r>
        <w:t>a complete explanation of demand.</w:t>
      </w:r>
    </w:p>
    <w:p w14:paraId="1CAED292" w14:textId="77777777" w:rsidR="00AF74C7" w:rsidRDefault="00000000" w:rsidP="006316BF">
      <w:pPr>
        <w:keepLines/>
        <w:spacing w:after="60"/>
        <w:ind w:firstLine="720"/>
      </w:pPr>
      <w:r>
        <w:t>METRO reported second-quarter sales of $5.113 billion, up 4.1% from the prior-year quarter [5].</w:t>
      </w:r>
      <w:r w:rsidR="006316BF">
        <w:t xml:space="preserve"> </w:t>
      </w:r>
      <w:r>
        <w:t>The increase indicates continued sales momentum at the company level during the reported quarter.</w:t>
      </w:r>
      <w:r w:rsidR="006316BF">
        <w:t xml:space="preserve"> </w:t>
      </w:r>
      <w:r>
        <w:t>It also shows why retailer results should be assessed at the level of each operator and period instead of being treated as a single, uniform national consumer story.</w:t>
      </w:r>
    </w:p>
    <w:p w14:paraId="79D0E28F" w14:textId="77777777" w:rsidR="00AF74C7" w:rsidRDefault="00000000" w:rsidP="006316BF">
      <w:pPr>
        <w:keepLines/>
        <w:spacing w:after="60"/>
        <w:ind w:firstLine="720"/>
      </w:pPr>
      <w:r>
        <w:t>Empire recorded a $746 million e-commerce impairment in the third quarter of fiscal 2026 [6].</w:t>
      </w:r>
    </w:p>
    <w:p w14:paraId="5D9078A4" w14:textId="77777777" w:rsidR="00AF74C7" w:rsidRDefault="00000000">
      <w:pPr>
        <w:keepLines/>
        <w:spacing w:after="60"/>
      </w:pPr>
      <w:r>
        <w:t>An impairment of this size signals that the expected value of a prior investment was reassessed materially downward.</w:t>
      </w:r>
      <w:r w:rsidR="006316BF">
        <w:t xml:space="preserve"> </w:t>
      </w:r>
      <w:r>
        <w:t>The result is a reminder that revenue resilience does not eliminate execution risk, particularly where digital investments depend on sustained adoption and economics.</w:t>
      </w:r>
      <w:r w:rsidR="006316BF">
        <w:t xml:space="preserve"> </w:t>
      </w:r>
      <w:r>
        <w:t>Empire reported fourth-quarter fiscal 2026 sales of $7.807 billion, up 2.2% from the prior-year quarter [7].</w:t>
      </w:r>
      <w:r w:rsidR="006316BF">
        <w:t xml:space="preserve"> </w:t>
      </w:r>
      <w:r>
        <w:t>The company still reported higher sales despite the operating and investment context described elsewhere in its fiscal-year reporting.</w:t>
      </w:r>
      <w:r w:rsidR="006316BF">
        <w:t xml:space="preserve"> </w:t>
      </w:r>
      <w:r>
        <w:t>This illustrates that sales growth and strategic success are separate questions: a business can grow its top line while facing meaningful portfolio or capital-allocation issues.</w:t>
      </w:r>
    </w:p>
    <w:p w14:paraId="0A710C9D" w14:textId="77777777" w:rsidR="00AF74C7" w:rsidRDefault="00000000" w:rsidP="006316BF">
      <w:pPr>
        <w:keepLines/>
        <w:spacing w:after="60"/>
        <w:ind w:firstLine="720"/>
      </w:pPr>
      <w:r>
        <w:lastRenderedPageBreak/>
        <w:t>METRO reported first-quarter fiscal 2026 food same-store sales growth of 1.6%, or 1.9% after adjusting for the Christmas shift [9].</w:t>
      </w:r>
      <w:r w:rsidR="006316BF">
        <w:t xml:space="preserve"> </w:t>
      </w:r>
      <w:r>
        <w:t>Same-store sales focus attention on performance in comparable locations rather than expansion through new stores.</w:t>
      </w:r>
      <w:r w:rsidR="006316BF">
        <w:t xml:space="preserve"> </w:t>
      </w:r>
      <w:r>
        <w:t>The adjusted figure also demonstrates why calendar effects can matter when comparing retail quarters and should not be dismissed as noise in operational analysis.</w:t>
      </w:r>
    </w:p>
    <w:p w14:paraId="2DFD9F21" w14:textId="77777777" w:rsidR="001C7C6F" w:rsidRDefault="00000000">
      <w:pPr>
        <w:pStyle w:val="Heading1"/>
      </w:pPr>
      <w:r>
        <w:t>Strategic Recommendations</w:t>
      </w:r>
    </w:p>
    <w:p w14:paraId="75CE8263" w14:textId="77777777" w:rsidR="001C7C6F" w:rsidRDefault="00000000">
      <w:r>
        <w:t>April retail sales rose 0.5% to $73.0 billion in April 2026 [2]. This is a useful signal of nominal retail activity, but it does not establish that grocery unit volumes or household purchasing power rose by the same amount. Management should therefore distinguish revenue growth from demand growth by monitoring unit sales, customer trips, basket composition, promotion redemption, and category-level price elasticity before changing the core value proposition.</w:t>
      </w:r>
    </w:p>
    <w:p w14:paraId="0E6D0229" w14:textId="77777777" w:rsidR="001C7C6F" w:rsidRDefault="00000000">
      <w:r>
        <w:t>METRO reported first-quarter fiscal 2026 food same-store sales growth of 1.6%, or 1.9% after adjusting for the Christmas shift [9]. Comparable-store growth indicates that existing locations were still generating higher food sales, but the result should be read as a measured performance signal rather than evidence of unrestricted consumer spending. The appropriate commercial response is a dual-track model: protect sharp prices on high-visibility staples while selectively testing premium assortment, convenience, and innovation in categories where customers show willingness to trade up.</w:t>
      </w:r>
    </w:p>
    <w:p w14:paraId="06F88B7B" w14:textId="77777777" w:rsidR="001C7C6F" w:rsidRDefault="00000000">
      <w:r>
        <w:t>Fresh vegetable prices rose 9.0% year over year in May 2026 [1]. This level of category-specific pressure makes a broad, uniform pricing response risky because consumers are likely to notice frequent fresh-food purchases more acutely than an overall index. Retailers should use targeted value actions in volatile categories, such as promotional rotation, smaller pack-price options, seasonal sourcing, and clearly communicated price locks, while avoiding margin concessions across categories that do not face the same pressure.</w:t>
      </w:r>
    </w:p>
    <w:p w14:paraId="080BA416" w14:textId="77777777" w:rsidR="001C7C6F" w:rsidRDefault="00000000">
      <w:r>
        <w:t>Loblaw reported first-quarter retail revenue of $14.484 billion, up 4.2% from the prior-year quarter [4]. Stronger dollar revenue creates room to invest, but it does not reveal how much of that growth came from pricing, mix, volume, or customer traffic. Capital allocation should therefore prioritize reversible, measurable initiatives: pilots that compare incrementality, retention, unit velocity, and gross-margin contribution against a matched control group rather than making a market-wide premiumization bet.</w:t>
      </w:r>
    </w:p>
    <w:p w14:paraId="41A28E86" w14:textId="77777777" w:rsidR="001C7C6F" w:rsidRDefault="00000000">
      <w:r>
        <w:t>METRO reported adjusted second-quarter net earnings of $236.5 million, up 4.4% from the prior-year quarter [5]. Improved profitability can support investment in customer experience, supply-chain productivity, and targeted assortment development. It should not be interpreted as proof that affordability pressure has disappeared; a more durable approach is to reinvest a portion of the capacity into maintaining competitive key-value items, improving promotional precision, and funding category-specific experiments with clear stop-loss thresholds.</w:t>
      </w:r>
    </w:p>
    <w:p w14:paraId="14427CCE" w14:textId="77777777" w:rsidR="001C7C6F" w:rsidRDefault="00000000">
      <w:r>
        <w:t>Empire recorded a $746 million e-commerce impairment in the third quarter of fiscal 2026 [6]. The impairment is a reminder that strategic investments require evidence of sustained customer adoption and economics, not merely a compelling growth narrative. Digital and omnichannel initiatives should be sequenced through stage gates that test adoption, contribution margin, fulfilment cost, and repeat behavior before broader rollout.</w:t>
      </w:r>
    </w:p>
    <w:p w14:paraId="55BAA14F" w14:textId="77777777" w:rsidR="001C7C6F" w:rsidRDefault="00000000">
      <w:r>
        <w:t>The recommended operating model is disciplined rather than defensive. Preserve a credible value floor in everyday essentials, use targeted premiumization where customer behavior supports it, and evaluate initiatives with measures that separate price, volume, mix, and loyalty effects. This approach protects the business against continued affordability pressure while still allowing it to capture higher-margin opportunities where the economics are demonstrably attractive.</w:t>
      </w:r>
    </w:p>
    <w:p w14:paraId="73CB2F8F" w14:textId="77777777" w:rsidR="001C7C6F" w:rsidRDefault="00000000">
      <w:pPr>
        <w:pStyle w:val="Heading1"/>
      </w:pPr>
      <w:r>
        <w:t>Conclusion</w:t>
      </w:r>
    </w:p>
    <w:p w14:paraId="54EC7550" w14:textId="77777777" w:rsidR="001C7C6F" w:rsidRDefault="00000000">
      <w:r>
        <w:t xml:space="preserve">Food purchased from stores was 4.3% more expensive in May 2026 than a year earlier, compared with 3.2% headline CPI inflation [1]. The central implication is not that affordability concerns have faded, but that grocery remains a relatively pressured part of the household budget even while retailers report resilient dollar sales. Nominal revenue and earnings growth are compatible with consumers trading down, reducing discretionary </w:t>
      </w:r>
      <w:r>
        <w:lastRenderedPageBreak/>
        <w:t>purchases elsewhere, changing basket mix, or accepting higher prices for necessities; they should not be treated as direct evidence of restored purchasing power.</w:t>
      </w:r>
    </w:p>
    <w:p w14:paraId="0E5D5B5A" w14:textId="77777777" w:rsidR="001C7C6F" w:rsidRDefault="00000000">
      <w:r>
        <w:t>A sound strategy is therefore balanced and evidence-led. Retailers should retain strong value credentials in the categories customers use to judge price fairness, use premiumization selectively rather than broadly, and make category investment decisions from observed unit, trip, margin, and loyalty data. The objective is not to choose between value and premium, but to protect customer trust at the value end while earning the right to expand higher-margin offers where demand is real and repeatable.</w:t>
      </w:r>
    </w:p>
    <w:p w14:paraId="2E8644A4" w14:textId="77777777" w:rsidR="001C7C6F" w:rsidRDefault="00000000">
      <w:r>
        <w:t>For senior leadership, the practical decision rule is clear: do not let a positive top-line result override the underlying affordability signals. Treat value investment as a strategic capability, premiumization as a targeted growth lever, and every material investment as a hypothesis that must demonstrate incremental volume, retention, or profitable mix before it is scaled.</w:t>
      </w:r>
    </w:p>
    <w:p w14:paraId="70042336" w14:textId="77777777" w:rsidR="00AF74C7" w:rsidRDefault="00000000">
      <w:pPr>
        <w:pStyle w:val="Heading1"/>
        <w:pageBreakBefore/>
        <w:spacing w:after="80"/>
      </w:pPr>
      <w:r>
        <w:lastRenderedPageBreak/>
        <w:t>References</w:t>
      </w:r>
    </w:p>
    <w:p w14:paraId="69C7D470" w14:textId="77777777" w:rsidR="00AF74C7" w:rsidRPr="006316BF" w:rsidRDefault="00000000">
      <w:pPr>
        <w:spacing w:after="0" w:line="216" w:lineRule="auto"/>
        <w:ind w:left="187" w:hanging="187"/>
        <w:rPr>
          <w:szCs w:val="21"/>
        </w:rPr>
      </w:pPr>
      <w:r w:rsidRPr="006316BF">
        <w:rPr>
          <w:szCs w:val="21"/>
        </w:rPr>
        <w:t>[1] Statistics Canada, “The Daily — Consumer Price Index, May 2026” (June 22, 2026). https://www150.statcan.gc.ca/n1/daily-quotidien/260622/dq260622a-eng.htm</w:t>
      </w:r>
    </w:p>
    <w:p w14:paraId="322DB66A" w14:textId="77777777" w:rsidR="00AF74C7" w:rsidRPr="006316BF" w:rsidRDefault="00000000">
      <w:pPr>
        <w:spacing w:after="0" w:line="216" w:lineRule="auto"/>
        <w:ind w:left="187" w:hanging="187"/>
        <w:rPr>
          <w:szCs w:val="21"/>
        </w:rPr>
      </w:pPr>
      <w:r w:rsidRPr="006316BF">
        <w:rPr>
          <w:szCs w:val="21"/>
        </w:rPr>
        <w:t>[2] Statistics Canada, “The Daily — Retail trade, April 2026” (June 19, 2026). https://www150.statcan.gc.ca/n1/daily-quotidien/260619/dq260619a-eng.htm</w:t>
      </w:r>
    </w:p>
    <w:p w14:paraId="1EBBBF4D" w14:textId="77777777" w:rsidR="00AF74C7" w:rsidRPr="006316BF" w:rsidRDefault="00000000">
      <w:pPr>
        <w:spacing w:after="0" w:line="216" w:lineRule="auto"/>
        <w:ind w:left="187" w:hanging="187"/>
        <w:rPr>
          <w:szCs w:val="21"/>
        </w:rPr>
      </w:pPr>
      <w:r w:rsidRPr="006316BF">
        <w:rPr>
          <w:szCs w:val="21"/>
        </w:rPr>
        <w:t>[3] Statistics Canada, “The Daily — Consumer Price Index: Annual review, 2025” (January 19, 2026). https://www150.statcan.gc.ca/n1/daily-quotidien/260119/dq260119b-eng.htm</w:t>
      </w:r>
    </w:p>
    <w:p w14:paraId="23A6A8B1" w14:textId="77777777" w:rsidR="00AF74C7" w:rsidRPr="006316BF" w:rsidRDefault="00000000">
      <w:pPr>
        <w:spacing w:after="0" w:line="216" w:lineRule="auto"/>
        <w:ind w:left="187" w:hanging="187"/>
        <w:rPr>
          <w:szCs w:val="21"/>
        </w:rPr>
      </w:pPr>
      <w:r w:rsidRPr="006316BF">
        <w:rPr>
          <w:szCs w:val="21"/>
        </w:rPr>
        <w:t>[4] Loblaw Companies Limited, “Loblaw Reports First Quarter Revenue Growth of 4.2%” (May 6, 2026). https://www.loblaw.ca/en/loblaw-reports-first-quarter-revenue-growth-of-4-2-and-adjusted-diluted-net-earnings-per-common-share-growth-of-10-6/</w:t>
      </w:r>
    </w:p>
    <w:p w14:paraId="4BA25F39" w14:textId="77777777" w:rsidR="00AF74C7" w:rsidRPr="006316BF" w:rsidRDefault="00000000">
      <w:pPr>
        <w:spacing w:after="0" w:line="216" w:lineRule="auto"/>
        <w:ind w:left="187" w:hanging="187"/>
        <w:rPr>
          <w:szCs w:val="21"/>
        </w:rPr>
      </w:pPr>
      <w:r w:rsidRPr="006316BF">
        <w:rPr>
          <w:szCs w:val="21"/>
        </w:rPr>
        <w:t>[5] METRO Inc., “METRO Reports 2026 Second Quarter Results” (April 22, 2026). https://corpo.metro.ca/en/media/newsroom/2026/metro-reports-2026-the-second-quarter-results.html</w:t>
      </w:r>
    </w:p>
    <w:p w14:paraId="2F2BEE24" w14:textId="77777777" w:rsidR="00AF74C7" w:rsidRPr="006316BF" w:rsidRDefault="00000000">
      <w:pPr>
        <w:spacing w:after="0" w:line="216" w:lineRule="auto"/>
        <w:ind w:left="187" w:hanging="187"/>
        <w:rPr>
          <w:szCs w:val="21"/>
        </w:rPr>
      </w:pPr>
      <w:r w:rsidRPr="006316BF">
        <w:rPr>
          <w:szCs w:val="21"/>
        </w:rPr>
        <w:t>[6] Empire Company Limited, “Empire Reports Fiscal 2026 Third Quarter Results” (March 12, 2026). https://www.empireco.ca/news/empire-reports-fiscal-2026-third-quarter-results</w:t>
      </w:r>
    </w:p>
    <w:p w14:paraId="435BAC27" w14:textId="77777777" w:rsidR="00AF74C7" w:rsidRPr="006316BF" w:rsidRDefault="00000000">
      <w:pPr>
        <w:spacing w:after="0" w:line="216" w:lineRule="auto"/>
        <w:ind w:left="187" w:hanging="187"/>
        <w:rPr>
          <w:szCs w:val="21"/>
        </w:rPr>
      </w:pPr>
      <w:r w:rsidRPr="006316BF">
        <w:rPr>
          <w:szCs w:val="21"/>
        </w:rPr>
        <w:t>[7] Empire Company Limited, “Empire Reports EPS of $0.94 in the Fourth Quarter and Fiscal 2026 Results” (June 18, 2026). https://www.empireco.ca/news/empire-reports-eps-of-094-in-the-fourth-quarter-and-fiscal-2026-results</w:t>
      </w:r>
    </w:p>
    <w:p w14:paraId="2EE81C2D" w14:textId="77777777" w:rsidR="00AF74C7" w:rsidRPr="006316BF" w:rsidRDefault="00000000">
      <w:pPr>
        <w:spacing w:after="0" w:line="216" w:lineRule="auto"/>
        <w:ind w:left="187" w:hanging="187"/>
        <w:rPr>
          <w:szCs w:val="21"/>
        </w:rPr>
      </w:pPr>
      <w:r w:rsidRPr="006316BF">
        <w:rPr>
          <w:szCs w:val="21"/>
        </w:rPr>
        <w:t>[8] Government of Canada, “Question Period Note: 2026 Food Price Increases” (January 2026). https://search.open.canada.ca/qpnotes/record/esdc-edsc%2CEF_050_20260105</w:t>
      </w:r>
    </w:p>
    <w:p w14:paraId="198DB32E" w14:textId="77777777" w:rsidR="00AF74C7" w:rsidRPr="006316BF" w:rsidRDefault="00000000">
      <w:pPr>
        <w:spacing w:after="0" w:line="216" w:lineRule="auto"/>
        <w:ind w:left="187" w:hanging="187"/>
        <w:rPr>
          <w:szCs w:val="21"/>
        </w:rPr>
      </w:pPr>
      <w:r w:rsidRPr="006316BF">
        <w:rPr>
          <w:szCs w:val="21"/>
        </w:rPr>
        <w:t>[9] METRO Inc., “METRO Reports 2026 First Quarter Results” (January 27, 2026). https://corpo.metro.ca/en/media/newsroom/2026/metro-reports-2026-the-first-quarter-results.html</w:t>
      </w:r>
    </w:p>
    <w:p w14:paraId="6C1FB477" w14:textId="77777777" w:rsidR="00AF74C7" w:rsidRPr="006316BF" w:rsidRDefault="00000000">
      <w:pPr>
        <w:spacing w:after="0" w:line="216" w:lineRule="auto"/>
        <w:ind w:left="187" w:hanging="187"/>
        <w:rPr>
          <w:szCs w:val="21"/>
        </w:rPr>
      </w:pPr>
      <w:r w:rsidRPr="006316BF">
        <w:rPr>
          <w:szCs w:val="21"/>
        </w:rPr>
        <w:t>[10] Statistics Canada May 2026 food-price outlook. https://www150.statcan.gc.ca/n1/daily-quotidien/260622/dq260622a-eng.htm</w:t>
      </w:r>
    </w:p>
    <w:sectPr w:rsidR="00AF74C7" w:rsidRPr="006316BF"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FA16A" w14:textId="77777777" w:rsidR="00502E79" w:rsidRDefault="00502E79">
      <w:pPr>
        <w:spacing w:after="0" w:line="240" w:lineRule="auto"/>
      </w:pPr>
      <w:r>
        <w:separator/>
      </w:r>
    </w:p>
  </w:endnote>
  <w:endnote w:type="continuationSeparator" w:id="0">
    <w:p w14:paraId="37735750" w14:textId="77777777" w:rsidR="00502E79" w:rsidRDefault="00502E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382A6" w14:textId="77777777" w:rsidR="00AF74C7" w:rsidRDefault="00000000">
    <w:pPr>
      <w:pStyle w:val="Footer"/>
      <w:jc w:val="right"/>
    </w:pPr>
    <w:r>
      <w:rPr>
        <w:sz w:val="16"/>
      </w:rPr>
      <w:t xml:space="preserve">Quantitative Business Evidence Verifier - Test Fixture | Page </w:t>
    </w:r>
    <w:r>
      <w:rPr>
        <w:sz w:val="16"/>
      </w:rPr>
      <w:fldChar w:fldCharType="begin"/>
    </w:r>
    <w:r>
      <w:rPr>
        <w:sz w:val="16"/>
      </w:rPr>
      <w:instrText xml:space="preserve"> PAGE </w:instrText>
    </w:r>
    <w:r>
      <w:rPr>
        <w:sz w:val="16"/>
      </w:rPr>
      <w:fldChar w:fldCharType="separate"/>
    </w:r>
    <w:r w:rsidR="006316BF">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FB7D8" w14:textId="77777777" w:rsidR="00502E79" w:rsidRDefault="00502E79">
      <w:pPr>
        <w:spacing w:after="0" w:line="240" w:lineRule="auto"/>
      </w:pPr>
      <w:r>
        <w:separator/>
      </w:r>
    </w:p>
  </w:footnote>
  <w:footnote w:type="continuationSeparator" w:id="0">
    <w:p w14:paraId="29A2E423" w14:textId="77777777" w:rsidR="00502E79" w:rsidRDefault="00502E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044047">
    <w:abstractNumId w:val="8"/>
  </w:num>
  <w:num w:numId="2" w16cid:durableId="811873722">
    <w:abstractNumId w:val="6"/>
  </w:num>
  <w:num w:numId="3" w16cid:durableId="1920553827">
    <w:abstractNumId w:val="5"/>
  </w:num>
  <w:num w:numId="4" w16cid:durableId="797455005">
    <w:abstractNumId w:val="4"/>
  </w:num>
  <w:num w:numId="5" w16cid:durableId="367220353">
    <w:abstractNumId w:val="7"/>
  </w:num>
  <w:num w:numId="6" w16cid:durableId="701127220">
    <w:abstractNumId w:val="3"/>
  </w:num>
  <w:num w:numId="7" w16cid:durableId="220797990">
    <w:abstractNumId w:val="2"/>
  </w:num>
  <w:num w:numId="8" w16cid:durableId="1105155102">
    <w:abstractNumId w:val="1"/>
  </w:num>
  <w:num w:numId="9" w16cid:durableId="1531987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195"/>
    <w:rsid w:val="0015074B"/>
    <w:rsid w:val="001C7C6F"/>
    <w:rsid w:val="0029639D"/>
    <w:rsid w:val="00326F90"/>
    <w:rsid w:val="003D210D"/>
    <w:rsid w:val="003F0B67"/>
    <w:rsid w:val="00502E79"/>
    <w:rsid w:val="006316BF"/>
    <w:rsid w:val="00857EF1"/>
    <w:rsid w:val="008942EF"/>
    <w:rsid w:val="00AA1D8D"/>
    <w:rsid w:val="00AF74C7"/>
    <w:rsid w:val="00B47730"/>
    <w:rsid w:val="00CB0664"/>
    <w:rsid w:val="00D57756"/>
    <w:rsid w:val="00FB67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89A35D"/>
  <w14:defaultImageDpi w14:val="300"/>
  <w15:docId w15:val="{DA597716-F312-48D7-9DDC-781E33965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b/>
      <w:bCs/>
      <w:color w:val="1E44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contextualSpacing/>
    </w:pPr>
    <w:rPr>
      <w:rFonts w:asciiTheme="majorHAnsi" w:eastAsiaTheme="majorEastAsia" w:hAnsiTheme="majorHAnsi" w:cstheme="majorBidi"/>
      <w:b/>
      <w:color w:val="1E4478"/>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Pages>
  <Words>1658</Words>
  <Characters>9451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Canadian Grocery Value and Demand Snapshot</dc:title>
  <dc:subject>Market intelligence and business strategy briefing</dc:subject>
  <dc:creator>OpenAI</dc:creator>
  <cp:keywords/>
  <dc:description>Single-source citation test fixture with senior-level strategic analysis.</dc:description>
  <cp:lastModifiedBy>gian putra</cp:lastModifiedBy>
  <cp:revision>6</cp:revision>
  <dcterms:created xsi:type="dcterms:W3CDTF">2013-12-23T23:15:00Z</dcterms:created>
  <dcterms:modified xsi:type="dcterms:W3CDTF">2026-07-05T08:09:00Z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c188468c-fbee-425c-ab9c-7af0275f67b9</vt:lpwstr>
  </property>
</Properties>
</file>