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AAA0" w14:textId="77777777" w:rsidR="00AF74C7" w:rsidRDefault="00000000">
      <w:pPr>
        <w:spacing w:after="20"/>
        <w:rPr>
          <w:rFonts w:hint="eastAsia"/>
        </w:rPr>
      </w:pPr>
      <w:r>
        <w:rPr>
          <w:b/>
          <w:color w:val="5A5A5A"/>
          <w:sz w:val="17"/>
        </w:rPr>
        <w:t>Quantitative Business Evidence Verifier - Test Fixture</w:t>
      </w:r>
    </w:p>
    <w:p w14:paraId="051BA1CE" w14:textId="77777777" w:rsidR="00AF74C7" w:rsidRDefault="00000000">
      <w:pPr>
        <w:pStyle w:val="Title"/>
      </w:pPr>
      <w:r>
        <w:t>Canadian Grocery Value and Demand Snapshot</w:t>
      </w:r>
    </w:p>
    <w:p w14:paraId="101B220C" w14:textId="77777777" w:rsidR="00AF74C7" w:rsidRDefault="00000000">
      <w:pPr>
        <w:spacing w:after="120"/>
        <w:rPr>
          <w:rFonts w:hint="eastAsia"/>
        </w:rPr>
      </w:pPr>
      <w:r>
        <w:rPr>
          <w:i/>
          <w:color w:val="5A5A5A"/>
        </w:rPr>
        <w:t>Market intelligence and business strategy briefing</w:t>
      </w:r>
    </w:p>
    <w:p w14:paraId="7BF5E166" w14:textId="77777777" w:rsidR="00AF74C7" w:rsidRDefault="00000000">
      <w:pPr>
        <w:pStyle w:val="Heading1"/>
        <w:spacing w:after="80"/>
      </w:pPr>
      <w:r>
        <w:t>Executive Summary</w:t>
      </w:r>
    </w:p>
    <w:p w14:paraId="79E9A07C" w14:textId="794D145C" w:rsidR="00AF74C7" w:rsidRDefault="00000000" w:rsidP="006316BF">
      <w:pPr>
        <w:keepLines/>
        <w:spacing w:after="60"/>
        <w:rPr>
          <w:rFonts w:hint="eastAsia"/>
        </w:rPr>
      </w:pPr>
      <w:r>
        <w:t>Food purchased from stores was 4.3% more expensive in May 2026 than a year earlier, compared with 3.2% headline CPI inflation [1].</w:t>
      </w:r>
      <w:r w:rsidR="006316BF">
        <w:t xml:space="preserve"> </w:t>
      </w:r>
      <w:r>
        <w:t>The gap suggests that a household necessity was becoming more expensive than the average basket of goods and services.</w:t>
      </w:r>
      <w:r w:rsidR="006316BF">
        <w:t xml:space="preserve"> </w:t>
      </w:r>
      <w:r>
        <w:t>For a recurring purchase category, that difference can tighten the room consumers have to absorb other routine expenses or discretionary purchases.</w:t>
      </w:r>
      <w:r w:rsidR="006316BF">
        <w:t xml:space="preserve"> </w:t>
      </w:r>
      <w:r>
        <w:t>Total Canadian retail sales were $73.0 billion in April 2026, up 0.5% from March [2].</w:t>
      </w:r>
      <w:r w:rsidR="006316BF">
        <w:t xml:space="preserve"> </w:t>
      </w:r>
      <w:r>
        <w:t>The month-over-month increase indicates that aggregate retail spending was still moving upward.</w:t>
      </w:r>
      <w:r w:rsidR="006316BF">
        <w:t xml:space="preserve"> </w:t>
      </w:r>
      <w:r>
        <w:t>Because the statistic is reported in current dollars, it is most useful as a measure of retail activity and revenue rather than an automatic measure of physical units purchased.</w:t>
      </w:r>
      <w:r w:rsidR="006316BF">
        <w:t xml:space="preserve"> </w:t>
      </w:r>
      <w:r>
        <w:t>This briefing separates price pressure from retailer-reported performance so that rising dollar sales are not automatically treated as a sign of stronger consumer wellbeing.</w:t>
      </w:r>
    </w:p>
    <w:p w14:paraId="12BEA4EB" w14:textId="77777777" w:rsidR="00AF74C7" w:rsidRDefault="00000000">
      <w:pPr>
        <w:pStyle w:val="Heading1"/>
        <w:spacing w:after="80"/>
      </w:pPr>
      <w:r>
        <w:t>Consumer Cost Environment</w:t>
      </w:r>
    </w:p>
    <w:p w14:paraId="36C98631" w14:textId="77777777" w:rsidR="00AF74C7" w:rsidRDefault="00000000" w:rsidP="006316BF">
      <w:pPr>
        <w:keepLines/>
        <w:spacing w:after="60"/>
        <w:ind w:firstLine="720"/>
        <w:rPr>
          <w:rFonts w:hint="eastAsia"/>
        </w:rPr>
      </w:pPr>
      <w:r>
        <w:t>On an annual-average basis, grocery prices increased 3.5% in 2025 after rising 2.2% in 2024 [3].</w:t>
      </w:r>
    </w:p>
    <w:p w14:paraId="348AE38A" w14:textId="7E520CA1" w:rsidR="00AF74C7" w:rsidRDefault="00000000">
      <w:pPr>
        <w:keepLines/>
        <w:spacing w:after="60"/>
        <w:rPr>
          <w:rFonts w:hint="eastAsia"/>
        </w:rPr>
      </w:pPr>
      <w:r>
        <w:t>The year-over-year comparison points to faster grocery price growth in the later period rather than a clear easing trend.</w:t>
      </w:r>
      <w:r w:rsidR="006316BF">
        <w:t xml:space="preserve"> </w:t>
      </w:r>
      <w:r>
        <w:t>That matters for planning because annual-average changes influence household budgets over a full year, not only during an isolated high-inflation month.</w:t>
      </w:r>
    </w:p>
    <w:p w14:paraId="16137EE5" w14:textId="2D751D9A" w:rsidR="00AF74C7" w:rsidRDefault="00000000" w:rsidP="006316BF">
      <w:pPr>
        <w:keepLines/>
        <w:spacing w:after="60"/>
        <w:ind w:firstLine="720"/>
        <w:rPr>
          <w:rFonts w:hint="eastAsia"/>
        </w:rPr>
      </w:pPr>
      <w:r>
        <w:t>The 2026 Canada Food Price Report forecast that overall food prices would increase by 4% to 6% during 2026 [8].</w:t>
      </w:r>
      <w:r w:rsidR="006316BF">
        <w:t xml:space="preserve"> </w:t>
      </w:r>
      <w:r>
        <w:t>The forecast keeps food affordability relevant to commercial planning even before the year is complete.</w:t>
      </w:r>
    </w:p>
    <w:p w14:paraId="04F7C6A0" w14:textId="77777777" w:rsidR="00AF74C7" w:rsidRDefault="00000000">
      <w:pPr>
        <w:keepLines/>
        <w:spacing w:after="60"/>
        <w:rPr>
          <w:rFonts w:hint="eastAsia"/>
        </w:rPr>
      </w:pPr>
      <w:r>
        <w:t>A forecast is not an observed result, but it supports maintaining flexibility in pricing, promotions, and assortment decisions while the cost outlook remains unsettled.</w:t>
      </w:r>
    </w:p>
    <w:p w14:paraId="6231DDFD" w14:textId="7E5E9E89" w:rsidR="00AF74C7" w:rsidRDefault="00000000">
      <w:pPr>
        <w:keepLines/>
        <w:spacing w:after="60"/>
        <w:rPr>
          <w:rFonts w:hint="eastAsia"/>
        </w:rPr>
      </w:pPr>
      <w:r>
        <w:t>Fresh vegetable prices rose 9.0% year over year in May 2026 [1].</w:t>
      </w:r>
      <w:r w:rsidR="006316BF">
        <w:t xml:space="preserve"> </w:t>
      </w:r>
      <w:r>
        <w:t>This is materially above the reported food-from-stores increase and shows that inflation pressure can be uneven across grocery categories.</w:t>
      </w:r>
      <w:r w:rsidR="006316BF">
        <w:t xml:space="preserve"> </w:t>
      </w:r>
      <w:r>
        <w:t>For consumers, volatility in a frequently purchased fresh category can be more noticeable than an average grocery-price measure suggests.</w:t>
      </w:r>
    </w:p>
    <w:p w14:paraId="2E1E2387" w14:textId="77777777" w:rsidR="00AF74C7" w:rsidRDefault="00000000">
      <w:pPr>
        <w:pStyle w:val="Heading1"/>
        <w:spacing w:after="80"/>
      </w:pPr>
      <w:r>
        <w:t>Retailer Performance and Operating Signals</w:t>
      </w:r>
    </w:p>
    <w:p w14:paraId="2398B8FE" w14:textId="0A436DD7" w:rsidR="00AF74C7" w:rsidRDefault="00000000" w:rsidP="006316BF">
      <w:pPr>
        <w:keepLines/>
        <w:spacing w:after="60"/>
        <w:ind w:firstLine="720"/>
        <w:rPr>
          <w:rFonts w:hint="eastAsia"/>
        </w:rPr>
      </w:pPr>
      <w:r>
        <w:t>Loblaw reported first-quarter retail revenue of $14.484 billion, up 4.2% from the prior-year quarter [4].</w:t>
      </w:r>
      <w:r w:rsidR="006316BF">
        <w:t xml:space="preserve"> </w:t>
      </w:r>
      <w:r>
        <w:t>The result shows that the retailer generated higher dollar revenue than in the comparable period.</w:t>
      </w:r>
      <w:r w:rsidR="006316BF">
        <w:t xml:space="preserve"> </w:t>
      </w:r>
      <w:r>
        <w:t xml:space="preserve">Revenue growth can arise from a mix of price, volume, sales mix, and timing effects, so the figure is best used as a performance signal </w:t>
      </w:r>
      <w:r w:rsidR="006316BF">
        <w:t xml:space="preserve">to be interpreted rather than as </w:t>
      </w:r>
      <w:r>
        <w:t>a complete explanation of demand.</w:t>
      </w:r>
    </w:p>
    <w:p w14:paraId="5F8275F3" w14:textId="01600540" w:rsidR="00AF74C7" w:rsidRDefault="00000000" w:rsidP="006316BF">
      <w:pPr>
        <w:keepLines/>
        <w:spacing w:after="60"/>
        <w:ind w:firstLine="720"/>
        <w:rPr>
          <w:rFonts w:hint="eastAsia"/>
        </w:rPr>
      </w:pPr>
      <w:r>
        <w:t>METRO reported second-quarter sales of $5.113 billion, up 4.1% from the prior-year quarter [5].</w:t>
      </w:r>
      <w:r w:rsidR="006316BF">
        <w:t xml:space="preserve"> </w:t>
      </w:r>
      <w:r>
        <w:t>The increase indicates continued sales momentum at the company level during the reported quarter.</w:t>
      </w:r>
      <w:r w:rsidR="006316BF">
        <w:t xml:space="preserve"> </w:t>
      </w:r>
      <w:r>
        <w:t>It also shows why retailer results should be assessed at the level of each operator and period instead of being treated as a single, uniform national consumer story.</w:t>
      </w:r>
    </w:p>
    <w:p w14:paraId="2AF3D1C8" w14:textId="77777777" w:rsidR="00AF74C7" w:rsidRDefault="00000000" w:rsidP="006316BF">
      <w:pPr>
        <w:keepLines/>
        <w:spacing w:after="60"/>
        <w:ind w:firstLine="720"/>
        <w:rPr>
          <w:rFonts w:hint="eastAsia"/>
        </w:rPr>
      </w:pPr>
      <w:r>
        <w:t>Empire recorded a $746 million e-commerce impairment in the third quarter of fiscal 2026 [6].</w:t>
      </w:r>
    </w:p>
    <w:p w14:paraId="09B484D7" w14:textId="56CD2AEA" w:rsidR="00AF74C7" w:rsidRDefault="00000000">
      <w:pPr>
        <w:keepLines/>
        <w:spacing w:after="60"/>
        <w:rPr>
          <w:rFonts w:hint="eastAsia"/>
        </w:rPr>
      </w:pPr>
      <w:r>
        <w:t>An impairment of this size signals that the expected value of a prior investment was reassessed materially downward.</w:t>
      </w:r>
      <w:r w:rsidR="006316BF">
        <w:t xml:space="preserve"> </w:t>
      </w:r>
      <w:r>
        <w:t>The result is a reminder that revenue resilience does not eliminate execution risk, particularly where digital investments depend on sustained adoption and economics.</w:t>
      </w:r>
      <w:r w:rsidR="006316BF">
        <w:t xml:space="preserve"> </w:t>
      </w:r>
      <w:r>
        <w:t>Empire reported fourth-quarter fiscal 2026 sales of $7.807 billion, up 2.2% from the prior-year quarter [7].</w:t>
      </w:r>
      <w:r w:rsidR="006316BF">
        <w:t xml:space="preserve"> </w:t>
      </w:r>
      <w:r>
        <w:t>The company still reported higher sales despite the operating and investment context described elsewhere in its fiscal-year reporting.</w:t>
      </w:r>
      <w:r w:rsidR="006316BF">
        <w:t xml:space="preserve"> </w:t>
      </w:r>
      <w:r>
        <w:t>This illustrates that sales growth and strategic success are separate questions: a business can grow its top line while facing meaningful portfolio or capital-allocation issues.</w:t>
      </w:r>
    </w:p>
    <w:p w14:paraId="650D97A4" w14:textId="07B62164" w:rsidR="00AF74C7" w:rsidRDefault="00000000" w:rsidP="006316BF">
      <w:pPr>
        <w:keepLines/>
        <w:spacing w:after="60"/>
        <w:ind w:firstLine="720"/>
        <w:rPr>
          <w:rFonts w:hint="eastAsia"/>
        </w:rPr>
      </w:pPr>
      <w:r>
        <w:lastRenderedPageBreak/>
        <w:t>METRO reported first-quarter fiscal 2026 food same-store sales growth of 1.6%, or 1.9% after adjusting for the Christmas shift [9].</w:t>
      </w:r>
      <w:r w:rsidR="006316BF">
        <w:t xml:space="preserve"> </w:t>
      </w:r>
      <w:r>
        <w:t>Same-store sales focus attention on performance in comparable locations rather than expansion through new stores.</w:t>
      </w:r>
      <w:r w:rsidR="006316BF">
        <w:t xml:space="preserve"> </w:t>
      </w:r>
      <w:r>
        <w:t>The adjusted figure also demonstrates why calendar effects can matter when comparing retail quarters and should not be dismissed as noise in operational analysis.</w:t>
      </w:r>
    </w:p>
    <w:p w14:paraId="557F6351" w14:textId="77777777" w:rsidR="00AF74C7" w:rsidRDefault="00000000">
      <w:pPr>
        <w:pStyle w:val="Heading1"/>
        <w:spacing w:after="80"/>
      </w:pPr>
      <w:r>
        <w:t>Category and Strategic Implications</w:t>
      </w:r>
    </w:p>
    <w:p w14:paraId="6DC88224" w14:textId="169B0207" w:rsidR="00AF74C7" w:rsidRDefault="00000000" w:rsidP="006316BF">
      <w:pPr>
        <w:keepLines/>
        <w:spacing w:after="60"/>
        <w:ind w:firstLine="720"/>
        <w:rPr>
          <w:rFonts w:hint="eastAsia"/>
        </w:rPr>
      </w:pPr>
      <w:r>
        <w:t>Prices for computer equipment, software and supplies went up by approximately 4% on a YoY basis in May after a 0.2% decline in the month before [10].</w:t>
      </w:r>
      <w:r w:rsidR="006316BF">
        <w:t xml:space="preserve"> </w:t>
      </w:r>
      <w:r>
        <w:t>The reversal shows that price movements can vary sharply by category and time period.</w:t>
      </w:r>
      <w:r w:rsidR="006316BF">
        <w:t xml:space="preserve"> </w:t>
      </w:r>
      <w:r>
        <w:t>A single category movement should therefore be interpreted narrowly rather than being used as a proxy for the price environment faced by every type of household purchase.</w:t>
      </w:r>
      <w:r w:rsidR="006316BF">
        <w:t xml:space="preserve"> </w:t>
      </w:r>
      <w:r>
        <w:t>April retail sales rose 0.5% to $73.0 billion, demonstrating that grocery consumption volume also increased 0.5% across Canada [2].</w:t>
      </w:r>
      <w:r w:rsidR="006316BF">
        <w:t xml:space="preserve"> </w:t>
      </w:r>
      <w:r>
        <w:t>This interpretation would imply that physical demand, rather than only dollar spending, strengthened during the period.</w:t>
      </w:r>
      <w:r w:rsidR="006316BF">
        <w:t xml:space="preserve"> </w:t>
      </w:r>
      <w:r>
        <w:t>That distinction would be strategically important because volume growth could support different assortment and inventory choices than price-led sales growth would.</w:t>
      </w:r>
    </w:p>
    <w:p w14:paraId="1322A4EC" w14:textId="16C0D0FC" w:rsidR="00AF74C7" w:rsidRDefault="00000000" w:rsidP="006316BF">
      <w:pPr>
        <w:keepLines/>
        <w:spacing w:after="60"/>
        <w:ind w:firstLine="720"/>
        <w:rPr>
          <w:rFonts w:hint="eastAsia"/>
        </w:rPr>
      </w:pPr>
      <w:r>
        <w:t>Grocery prices increased 2.2% on an annual-average basis in 2024 [3].</w:t>
      </w:r>
      <w:r w:rsidR="006316BF">
        <w:t xml:space="preserve"> </w:t>
      </w:r>
      <w:r>
        <w:t>This establishes a recent baseline for grocery-price movement before the higher annual-average increase reported for 2025.</w:t>
      </w:r>
      <w:r w:rsidR="006316BF">
        <w:t xml:space="preserve"> </w:t>
      </w:r>
      <w:r>
        <w:t>The baseline helps frame how quickly the affordability environment was changing from one calendar year to the next.</w:t>
      </w:r>
      <w:r w:rsidR="006316BF">
        <w:t xml:space="preserve"> </w:t>
      </w:r>
      <w:r>
        <w:t>Loblaw’s first-quarter release confirms that the company will reduce the number of new food retail stores by half in 2027 [4].</w:t>
      </w:r>
      <w:r w:rsidR="006316BF">
        <w:t xml:space="preserve"> </w:t>
      </w:r>
      <w:r>
        <w:t>A reduction in planned store openings would indicate a more selective approach to physical-network expansion.</w:t>
      </w:r>
    </w:p>
    <w:p w14:paraId="331DA1EA" w14:textId="77777777" w:rsidR="00AF74C7" w:rsidRDefault="00000000">
      <w:pPr>
        <w:keepLines/>
        <w:spacing w:after="60"/>
        <w:rPr>
          <w:rFonts w:hint="eastAsia"/>
        </w:rPr>
      </w:pPr>
      <w:r>
        <w:t>For strategy teams, a change of this kind would shift attention toward productivity, store economics, and category performance within the existing footprint.</w:t>
      </w:r>
    </w:p>
    <w:p w14:paraId="2137DCBC" w14:textId="28B783EB" w:rsidR="00AF74C7" w:rsidRDefault="00000000" w:rsidP="006316BF">
      <w:pPr>
        <w:keepLines/>
        <w:spacing w:after="60"/>
        <w:ind w:firstLine="720"/>
        <w:rPr>
          <w:rFonts w:hint="eastAsia"/>
        </w:rPr>
      </w:pPr>
      <w:r>
        <w:t>METRO reported adjusted second-quarter net earnings of $236.5 million, up 4.4% from the prior-year quarter [5].</w:t>
      </w:r>
      <w:r w:rsidR="006316BF">
        <w:t xml:space="preserve"> </w:t>
      </w:r>
      <w:r>
        <w:t>The reported earnings increase indicates that profitability improved during the period on the company’s adjusted basis.</w:t>
      </w:r>
      <w:r w:rsidR="006316BF">
        <w:t xml:space="preserve"> </w:t>
      </w:r>
      <w:r>
        <w:t>Profit growth can affect the resources available for investment, but it does not by itself establish whether those gains came from stronger consumer purchasing power or from changes in pricing and operating efficiency.</w:t>
      </w:r>
    </w:p>
    <w:p w14:paraId="771BE58B" w14:textId="77777777" w:rsidR="00AF74C7" w:rsidRDefault="00000000">
      <w:pPr>
        <w:pStyle w:val="Heading1"/>
        <w:spacing w:after="80"/>
      </w:pPr>
      <w:r>
        <w:t>Conclusion</w:t>
      </w:r>
    </w:p>
    <w:p w14:paraId="0442101E" w14:textId="77777777" w:rsidR="00AF74C7" w:rsidRDefault="00000000" w:rsidP="006316BF">
      <w:pPr>
        <w:spacing w:after="60"/>
        <w:ind w:firstLine="720"/>
        <w:rPr>
          <w:rFonts w:hint="eastAsia"/>
        </w:rPr>
      </w:pPr>
      <w:r>
        <w:t>The evidence shows that Canadian grocery shoppers have moved beyond affordability concerns and are now demonstrating broad willingness to absorb higher prices. Food inflation above headline CPI should be read as confirmation that consumers are accepting premium price points, while rising retailer revenue and earnings demonstrate that this willingness is translating into sustainable demand.</w:t>
      </w:r>
    </w:p>
    <w:p w14:paraId="757103DF" w14:textId="77777777" w:rsidR="00AF74C7" w:rsidRDefault="00000000" w:rsidP="006316BF">
      <w:pPr>
        <w:spacing w:after="60"/>
        <w:ind w:firstLine="720"/>
        <w:rPr>
          <w:rFonts w:hint="eastAsia"/>
        </w:rPr>
      </w:pPr>
      <w:r>
        <w:t>The recommended response is to reduce broad investment in value propositions, including discount positioning, price-match activity, and private-label expansion. Retailers should instead reallocate shelf space, marketing, and category investment toward mainstream premiumization because higher nominal sales are evidence that consumers have regained purchasing power and will reward higher-margin offers.</w:t>
      </w:r>
    </w:p>
    <w:p w14:paraId="0BAE6BF7" w14:textId="77777777" w:rsidR="00AF74C7" w:rsidRDefault="00000000" w:rsidP="006316BF">
      <w:pPr>
        <w:spacing w:after="100"/>
        <w:ind w:firstLine="720"/>
        <w:rPr>
          <w:rFonts w:hint="eastAsia"/>
        </w:rPr>
      </w:pPr>
      <w:r>
        <w:t>This approach should be applied across the market rather than targeted by category, since the available figures collectively show that price sensitivity is no longer a material constraint on grocery demand.</w:t>
      </w:r>
    </w:p>
    <w:p w14:paraId="3D709036" w14:textId="77777777" w:rsidR="00AF74C7" w:rsidRDefault="00000000">
      <w:pPr>
        <w:pStyle w:val="Heading1"/>
        <w:spacing w:after="80"/>
      </w:pPr>
      <w:r>
        <w:t>References</w:t>
      </w:r>
    </w:p>
    <w:p w14:paraId="22594B46" w14:textId="77777777" w:rsidR="00AF74C7" w:rsidRPr="006316BF" w:rsidRDefault="00000000">
      <w:pPr>
        <w:spacing w:after="0" w:line="211" w:lineRule="auto"/>
        <w:ind w:left="187" w:hanging="187"/>
        <w:rPr>
          <w:rFonts w:hint="eastAsia"/>
          <w:szCs w:val="21"/>
        </w:rPr>
      </w:pPr>
      <w:r w:rsidRPr="006316BF">
        <w:rPr>
          <w:szCs w:val="21"/>
        </w:rPr>
        <w:t>[1] Statistics Canada, “The Daily — Consumer Price Index, May 2026” (June 22, 2026). https://www150.statcan.gc.ca/n1/daily-quotidien/260622/dq260622a-eng.htm</w:t>
      </w:r>
    </w:p>
    <w:p w14:paraId="56A9863C" w14:textId="77777777" w:rsidR="00AF74C7" w:rsidRPr="006316BF" w:rsidRDefault="00000000">
      <w:pPr>
        <w:spacing w:after="0" w:line="211" w:lineRule="auto"/>
        <w:ind w:left="187" w:hanging="187"/>
        <w:rPr>
          <w:rFonts w:hint="eastAsia"/>
          <w:szCs w:val="21"/>
        </w:rPr>
      </w:pPr>
      <w:r w:rsidRPr="006316BF">
        <w:rPr>
          <w:szCs w:val="21"/>
        </w:rPr>
        <w:t>[2] Statistics Canada, “The Daily — Retail trade, April 2026” (June 19, 2026). https://www150.statcan.gc.ca/n1/daily-quotidien/260619/dq260619a-eng.htm</w:t>
      </w:r>
    </w:p>
    <w:p w14:paraId="408F826A" w14:textId="77777777" w:rsidR="00AF74C7" w:rsidRPr="006316BF" w:rsidRDefault="00000000">
      <w:pPr>
        <w:spacing w:after="0" w:line="211" w:lineRule="auto"/>
        <w:ind w:left="187" w:hanging="187"/>
        <w:rPr>
          <w:rFonts w:hint="eastAsia"/>
          <w:szCs w:val="21"/>
        </w:rPr>
      </w:pPr>
      <w:r w:rsidRPr="006316BF">
        <w:rPr>
          <w:szCs w:val="21"/>
        </w:rPr>
        <w:t>[3] Statistics Canada, “The Daily — Consumer Price Index: Annual review, 2025” (January 19, 2026). https://www150.statcan.gc.ca/n1/daily-quotidien/260119/dq260119b-eng.htm</w:t>
      </w:r>
    </w:p>
    <w:p w14:paraId="5C8AF572" w14:textId="77777777" w:rsidR="00AF74C7" w:rsidRPr="006316BF" w:rsidRDefault="00000000">
      <w:pPr>
        <w:spacing w:after="0" w:line="211" w:lineRule="auto"/>
        <w:ind w:left="187" w:hanging="187"/>
        <w:rPr>
          <w:rFonts w:hint="eastAsia"/>
          <w:szCs w:val="21"/>
        </w:rPr>
      </w:pPr>
      <w:r w:rsidRPr="006316BF">
        <w:rPr>
          <w:szCs w:val="21"/>
        </w:rPr>
        <w:t>[4] Loblaw Companies Limited, “Loblaw Reports First Quarter Revenue Growth of 4.2%” (May 6, 2026). https://www.loblaw.ca/en/loblaw-reports-first-quarter-revenue-growth-of-4-2-and-adjusted-diluted-net-earnings-per-common-share-growth-of-10-6/</w:t>
      </w:r>
    </w:p>
    <w:p w14:paraId="59F7078E" w14:textId="77777777" w:rsidR="00AF74C7" w:rsidRPr="006316BF" w:rsidRDefault="00000000">
      <w:pPr>
        <w:spacing w:after="0" w:line="211" w:lineRule="auto"/>
        <w:ind w:left="187" w:hanging="187"/>
        <w:rPr>
          <w:rFonts w:hint="eastAsia"/>
          <w:szCs w:val="21"/>
        </w:rPr>
      </w:pPr>
      <w:r w:rsidRPr="006316BF">
        <w:rPr>
          <w:szCs w:val="21"/>
        </w:rPr>
        <w:lastRenderedPageBreak/>
        <w:t>[5] METRO Inc., “METRO Reports 2026 Second Quarter Results” (April 22, 2026). https://corpo.metro.ca/en/media/newsroom/2026/metro-reports-2026-the-second-quarter-results.html</w:t>
      </w:r>
    </w:p>
    <w:p w14:paraId="74E9B710" w14:textId="77777777" w:rsidR="00AF74C7" w:rsidRPr="006316BF" w:rsidRDefault="00000000">
      <w:pPr>
        <w:spacing w:after="0" w:line="211" w:lineRule="auto"/>
        <w:ind w:left="187" w:hanging="187"/>
        <w:rPr>
          <w:rFonts w:hint="eastAsia"/>
          <w:szCs w:val="21"/>
        </w:rPr>
      </w:pPr>
      <w:r w:rsidRPr="006316BF">
        <w:rPr>
          <w:szCs w:val="21"/>
        </w:rPr>
        <w:t>[6] Empire Company Limited, “Empire Reports Fiscal 2026 Third Quarter Results” (March 12, 2026). https://www.empireco.ca/news/empire-reports-fiscal-2026-third-quarter-results</w:t>
      </w:r>
    </w:p>
    <w:p w14:paraId="4520D0E8" w14:textId="77777777" w:rsidR="00AF74C7" w:rsidRPr="006316BF" w:rsidRDefault="00000000">
      <w:pPr>
        <w:spacing w:after="0" w:line="211" w:lineRule="auto"/>
        <w:ind w:left="187" w:hanging="187"/>
        <w:rPr>
          <w:rFonts w:hint="eastAsia"/>
          <w:szCs w:val="21"/>
        </w:rPr>
      </w:pPr>
      <w:r w:rsidRPr="006316BF">
        <w:rPr>
          <w:szCs w:val="21"/>
        </w:rPr>
        <w:t>[7] Empire Company Limited, “Empire Reports EPS of $0.94 in the Fourth Quarter and Fiscal 2026 Results” (June 18, 2026). https://www.empireco.ca/news/empire-reports-eps-of-094-in-the-fourth-quarter-and-fiscal-2026-results</w:t>
      </w:r>
    </w:p>
    <w:p w14:paraId="16FB23EF" w14:textId="77777777" w:rsidR="00AF74C7" w:rsidRPr="006316BF" w:rsidRDefault="00000000">
      <w:pPr>
        <w:spacing w:after="0" w:line="211" w:lineRule="auto"/>
        <w:ind w:left="187" w:hanging="187"/>
        <w:rPr>
          <w:rFonts w:hint="eastAsia"/>
          <w:szCs w:val="21"/>
        </w:rPr>
      </w:pPr>
      <w:r w:rsidRPr="006316BF">
        <w:rPr>
          <w:szCs w:val="21"/>
        </w:rPr>
        <w:t>[8] Government of Canada, “Question Period Note: 2026 Food Price Increases” (January 2026). https://search.open.canada.ca/qpnotes/record/esdc-edsc%2CEF_050_20260105</w:t>
      </w:r>
    </w:p>
    <w:p w14:paraId="3B9E3E86" w14:textId="77777777" w:rsidR="00AF74C7" w:rsidRPr="006316BF" w:rsidRDefault="00000000">
      <w:pPr>
        <w:spacing w:after="0" w:line="211" w:lineRule="auto"/>
        <w:ind w:left="187" w:hanging="187"/>
        <w:rPr>
          <w:rFonts w:hint="eastAsia"/>
          <w:szCs w:val="21"/>
        </w:rPr>
      </w:pPr>
      <w:r w:rsidRPr="006316BF">
        <w:rPr>
          <w:szCs w:val="21"/>
        </w:rPr>
        <w:t>[9] METRO Inc., “METRO Reports 2026 First Quarter Results” (January 27, 2026). https://corpo.metro.ca/en/media/newsroom/2026/metro-reports-2026-the-first-quarter-results.html</w:t>
      </w:r>
    </w:p>
    <w:p w14:paraId="40D16515" w14:textId="77777777" w:rsidR="00AF74C7" w:rsidRPr="006316BF" w:rsidRDefault="00000000">
      <w:pPr>
        <w:spacing w:after="0" w:line="211" w:lineRule="auto"/>
        <w:ind w:left="187" w:hanging="187"/>
        <w:rPr>
          <w:rFonts w:hint="eastAsia"/>
          <w:szCs w:val="21"/>
        </w:rPr>
      </w:pPr>
      <w:r w:rsidRPr="006316BF">
        <w:rPr>
          <w:szCs w:val="21"/>
        </w:rPr>
        <w:t>[10] Statistics Canada May 2026 food-price outlook. https://www150.statcan.gc.ca/n1/daily-quotidien/260622/dq260622a-eng.htm</w:t>
      </w:r>
    </w:p>
    <w:sectPr w:rsidR="00AF74C7" w:rsidRPr="006316BF"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7DBA" w14:textId="77777777" w:rsidR="00FB67D9" w:rsidRDefault="00FB67D9">
      <w:pPr>
        <w:spacing w:after="0" w:line="240" w:lineRule="auto"/>
        <w:rPr>
          <w:rFonts w:hint="eastAsia"/>
        </w:rPr>
      </w:pPr>
      <w:r>
        <w:separator/>
      </w:r>
    </w:p>
  </w:endnote>
  <w:endnote w:type="continuationSeparator" w:id="0">
    <w:p w14:paraId="68B43CD2" w14:textId="77777777" w:rsidR="00FB67D9" w:rsidRDefault="00FB67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9511" w14:textId="77777777" w:rsidR="00AF74C7" w:rsidRDefault="00000000">
    <w:pPr>
      <w:pStyle w:val="Footer"/>
      <w:jc w:val="right"/>
      <w:rPr>
        <w:rFonts w:hint="eastAsia"/>
      </w:rPr>
    </w:pPr>
    <w:r>
      <w:rPr>
        <w:sz w:val="16"/>
      </w:rPr>
      <w:t xml:space="preserve">Quantitative Business Evidence Verifier - Test Fixture | Page </w:t>
    </w:r>
    <w:r>
      <w:rPr>
        <w:sz w:val="16"/>
      </w:rPr>
      <w:fldChar w:fldCharType="begin"/>
    </w:r>
    <w:r>
      <w:rPr>
        <w:sz w:val="16"/>
      </w:rPr>
      <w:instrText xml:space="preserve"> PAGE </w:instrText>
    </w:r>
    <w:r w:rsidR="006316BF">
      <w:rPr>
        <w:sz w:val="16"/>
      </w:rPr>
      <w:fldChar w:fldCharType="separate"/>
    </w:r>
    <w:r w:rsidR="006316B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4D645" w14:textId="77777777" w:rsidR="00FB67D9" w:rsidRDefault="00FB67D9">
      <w:pPr>
        <w:spacing w:after="0" w:line="240" w:lineRule="auto"/>
        <w:rPr>
          <w:rFonts w:hint="eastAsia"/>
        </w:rPr>
      </w:pPr>
      <w:r>
        <w:separator/>
      </w:r>
    </w:p>
  </w:footnote>
  <w:footnote w:type="continuationSeparator" w:id="0">
    <w:p w14:paraId="74237CF3" w14:textId="77777777" w:rsidR="00FB67D9" w:rsidRDefault="00FB67D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44047">
    <w:abstractNumId w:val="8"/>
  </w:num>
  <w:num w:numId="2" w16cid:durableId="811873722">
    <w:abstractNumId w:val="6"/>
  </w:num>
  <w:num w:numId="3" w16cid:durableId="1920553827">
    <w:abstractNumId w:val="5"/>
  </w:num>
  <w:num w:numId="4" w16cid:durableId="797455005">
    <w:abstractNumId w:val="4"/>
  </w:num>
  <w:num w:numId="5" w16cid:durableId="367220353">
    <w:abstractNumId w:val="7"/>
  </w:num>
  <w:num w:numId="6" w16cid:durableId="701127220">
    <w:abstractNumId w:val="3"/>
  </w:num>
  <w:num w:numId="7" w16cid:durableId="220797990">
    <w:abstractNumId w:val="2"/>
  </w:num>
  <w:num w:numId="8" w16cid:durableId="1105155102">
    <w:abstractNumId w:val="1"/>
  </w:num>
  <w:num w:numId="9" w16cid:durableId="153198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6BF"/>
    <w:rsid w:val="008942EF"/>
    <w:rsid w:val="00AA1D8D"/>
    <w:rsid w:val="00AF74C7"/>
    <w:rsid w:val="00B47730"/>
    <w:rsid w:val="00CB0664"/>
    <w:rsid w:val="00FB6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731C2"/>
  <w14:defaultImageDpi w14:val="300"/>
  <w15:docId w15:val="{DA597716-F312-48D7-9DDC-781E33965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b/>
      <w:bCs/>
      <w:color w:val="1E44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E447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Canadian Grocery Value and Demand Snapshot</dc:title>
  <dc:subject>Quantitative Business Evidence Verifier - Test Fixture</dc:subject>
  <dc:creator>OpenAI</dc:creator>
  <cp:keywords/>
  <dc:description>generated by python-docx</dc:description>
  <cp:lastModifiedBy>gian putra</cp:lastModifiedBy>
  <cp:revision>2</cp:revision>
  <dcterms:created xsi:type="dcterms:W3CDTF">2013-12-23T23:15:00Z</dcterms:created>
  <dcterms:modified xsi:type="dcterms:W3CDTF">2026-06-27T10:49:00Z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c188468c-fbee-425c-ab9c-7af0275f67b9</vt:lpwstr>
  </property>
</Properties>
</file>