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16sdtfl w16du wp14">
  <ns0:body>
    <ns0:p ns2:paraId="2964BCD2" ns2:textId="77777777" ns0:rsidR="00EC64B6" ns0:rsidRDefault="00000000">
      <ns0:pPr>
        <ns0:pStyle ns0:val="Title"/>
      </ns0:pPr>
      <ns0:r>
        <ns0:rPr>
          <ns0:rFonts ns0:ascii="Arial" ns0:hAnsi="Arial"/>
        </ns0:rPr>
        <ns0:t>Coca-Cola Q1 2026 FP&amp;A Performance Review</ns0:t>
      </ns0:r>
    </ns0:p>
    <ns0:p ns2:paraId="18AC8A33" ns2:textId="77777777" ns0:rsidR="00EC64B6" ns0:rsidRDefault="00000000">
      <ns0:pPr>
        <ns0:spacing ns0:after="140"/>
      </ns0:pPr>
      <ns0:r>
        <ns0:rPr>
          <ns0:i/>
          <ns0:color ns0:val="5F5F5F"/>
        </ns0:rPr>
        <ns0:t>Management briefing note</ns0:t>
      </ns0:r>
    </ns0:p>
    <ns0:p ns2:paraId="2E3E8C10" ns2:textId="77777777" ns0:rsidR="00EC64B6" ns0:rsidRDefault="00000000">
      <ns0:pPr>
        <ns0:pStyle ns0:val="Heading1"/>
      </ns0:pPr>
      <ns0:r>
        <ns0:t>Executive Summary</ns0:t>
      </ns0:r>
    </ns0:p>
    <ns0:p ns2:paraId="30900ADE" ns2:textId="77777777" ns0:rsidR="00EC64B6" ns0:rsidRDefault="00000000">
      <ns0:pPr>
        <ns0:keepLines/>
      </ns0:pPr>
      <ns0:r>
        <ns0:t>First-quarter performance was stronger than the prior-year comparison, with net revenues increasing 12% to $12.5 billion. [1]</ns0:t>
      </ns0:r>
    </ns0:p>
    <ns0:p ns2:paraId="20FDC450" ns2:textId="2DCDF35F" ns0:rsidR="00EC64B6" ns0:rsidRDefault="00000000">
      <ns0:pPr>
        <ns0:keepLines/>
      </ns0:pPr>
      <ns0:r>
        <ns0:t>Reported operating margin improved to 35.0%, compared with 32.9% in the prior-year quarter</ns0:t>
      </ns0:r>
      <ns0:r ns0:rsidR="006A7A01">
        <ns0:t xml:space="preserve"> [1]</ns0:t>
      </ns0:r>
      <ns0:r>
        <ns0:t xml:space="preserve">. </ns0:t>
      </ns0:r>
    </ns0:p>
    <ns0:p ns2:paraId="4260E67D" ns2:textId="77777777" ns0:rsidR="00EC64B6" ns0:rsidRDefault="00000000">
      <ns0:pPr>
        <ns0:keepLines/>
      </ns0:pPr>
      <ns0:r>
        <ns0:t>The planning priority is to separate underlying demand, price/mix, and calendar effects before translating the first-quarter outcome into full-year operating assumptions.</ns0:t>
      </ns0:r>
    </ns0:p>
    <ns0:p ns2:paraId="1A771072" ns2:textId="77777777" ns0:rsidR="00EC64B6" ns0:rsidRDefault="00000000">
      <ns0:pPr>
        <ns0:pStyle ns0:val="Heading1"/>
      </ns0:pPr>
      <ns0:r>
        <ns0:t>Revenue and Volume Performance</ns0:t>
      </ns0:r>
    </ns0:p>
    <ns0:p ns2:paraId="64BEA061" ns2:textId="77777777" ns0:rsidR="00EC64B6" ns0:rsidRDefault="00000000">
      <ns0:pPr>
        <ns0:keepLines/>
      </ns0:pPr>
      <ns0:r>
        <ns0:t>The Q1 filing reports net operating revenues of $12.472 billion, compared with $11.129 billion in the same quarter of 2025. [2]</ns0:t>
      </ns0:r>
    </ns0:p>
    <ns0:p ns2:paraId="001BA792" ns2:textId="77777777" ns0:rsidR="00EC64B6" ns0:rsidRDefault="00000000">
      <ns0:pPr>
        <ns0:keepLines/>
      </ns0:pPr>
      <ns0:r>
        <ns0:t>For full-year 2025, net revenues were $47.9 billion, up 2% from 2024. [3]</ns0:t>
      </ns0:r>
    </ns0:p>
    <ns0:p ns2:paraId="3FF848F5" ns2:textId="77777777" ns0:rsidR="00EC64B6" ns0:rsidRDefault="00000000">
      <ns0:pPr>
        <ns0:keepLines/>
      </ns0:pPr>
      <ns0:r>
        <ns0:t>In the first quarter of 2025, reported net revenues declined 2% to $11.1 billion. [4]</ns0:t>
      </ns0:r>
    </ns0:p>
    <ns0:p ns2:paraId="3313AC55" ns2:textId="77777777" ns0:rsidR="00EC64B6" ns0:rsidRDefault="00000000">
      <ns0:pPr>
        <ns0:keepLines/>
      </ns0:pPr>
      <ns0:r>
        <ns0:t>In the second quarter of 2025, net revenues increased 1% to $12.5 billion. [5]</ns0:t>
      </ns0:r>
    </ns0:p>
    <ns0:p ns2:paraId="14C70C21" ns2:textId="77777777" ns0:rsidR="00EC64B6" ns0:rsidRDefault="00000000">
      <ns0:pPr>
        <ns0:keepLines/>
      </ns0:pPr>
      <ns0:r>
        <ns0:t>In the third quarter of 2025, net revenues increased 5% to $12.5 billion. [6]</ns0:t>
      </ns0:r>
    </ns0:p>
    <ns0:p ns2:paraId="3328F9E6" ns2:textId="77777777" ns0:rsidR="00EC64B6" ns0:rsidRDefault="00000000">
      <ns0:pPr>
        <ns0:keepLines/>
      </ns0:pPr>
      <ns0:r>
        <ns0:t>The year-over-year acceleration in the latest quarter is meaningful, but management should maintain a clean bridge between reported results and recurring commercial drivers.</ns0:t>
      </ns0:r>
    </ns0:p>
    <ns0:p ns2:paraId="4607B0F7" ns2:textId="77777777" ns0:rsidR="00EC64B6" ns0:rsidRDefault="00000000">
      <ns0:pPr>
        <ns0:pStyle ns0:val="Heading1"/>
      </ns0:pPr>
      <ns0:r>
        <ns0:t>Margin and Cash Context</ns0:t>
      </ns0:r>
    </ns0:p>
    <ns0:p ns2:paraId="301CC75A" ns2:textId="3237554F" ns0:rsidR="00EC64B6" ns0:rsidRDefault="00000000">
      <ns0:pPr>
        <ns0:keepLines/>
      </ns0:pPr>
      <ns0:bookmarkStart ns0:id="0" ns0:name="_Hlk233330450"/>
      <ns0:r>
        <ns0:t>For 2025, cash flow from opera</ns0:t>
      </ns0:r>
      <ns0:r ns0:rsidR="006A775B">
        <ns0:t>ting activities</ns0:t>
      </ns0:r>
      <ns0:r>
        <ns0:t xml:space="preserve"> was $7.4 billion</ns0:t>
      </ns0:r>
      <ns0:bookmarkEnd ns0:id="0"/>
      <ns0:r>
        <ns0:t>. [7]</ns0:t>
      </ns0:r>
    </ns0:p>
    <ns0:p ns2:paraId="5B189672" ns2:textId="77777777" ns0:rsidR="00EC64B6" ns0:rsidRDefault="00000000">
      <ns0:pPr>
        <ns0:keepLines/>
      </ns0:pPr>
      <ns0:r>
        <ns0:t>Reported diluted earnings per share in the third quarter of 2025 were $0.86. [8]</ns0:t>
      </ns0:r>
    </ns0:p>
    <ns0:p ns2:paraId="59506995" ns2:textId="77777777" ns0:rsidR="00EC64B6" ns0:rsidRDefault="00000000">
      <ns0:pPr>
        <ns0:keepLines/>
      </ns0:pPr>
      <ns0:r>
        <ns0:t>Reported diluted earnings per share in the second quarter of 2025 were $0.88, compared with $0.56 in the prior-year quarter. [9]</ns0:t>
      </ns0:r>
    </ns0:p>
    <ns0:p ns2:paraId="7CEF4E9E" ns2:textId="77777777" ns0:rsidR="00EC64B6" ns0:rsidRDefault="00000000">
      <ns0:pPr>
        <ns0:keepLines/>
      </ns0:pPr>
      <ns0:r>
        <ns0:t>The cash profile should be assessed separately from profit growth because working-capital timing and one-off cash items can materially affect quarterly comparisons.</ns0:t>
      </ns0:r>
    </ns0:p>
    <ns0:p ns2:paraId="03A80D45" ns2:textId="77777777" ns0:rsidR="00EC64B6" ns0:rsidRDefault="00000000">
      <ns0:pPr>
        <ns0:pStyle ns0:val="Heading1"/>
      </ns0:pPr>
      <ns0:r>
        <ns0:t>Planning Considerations</ns0:t>
      </ns0:r>
    </ns0:p>
    <ns0:p ns2:paraId="6111CBEF" ns2:textId="47CAB465" ns0:rsidR="00EC64B6" ns0:rsidRDefault="00000000">
      <ns0:pPr>
        <ns0:keepLines/>
      </ns0:pPr>
      <ns0:r>
        <ns0:t xml:space="preserve">The 2026 planning outlook </ns0:t>
      </ns0:r>
      <ns0:r ns0:rsidR="005224D0">
        <ns0:t>said that Coca-Cola expects approximately 4% headwind from acquisitions and divestitures, assuming pending sale of Coca-Cola Beverages Africa due to regulatory approvals</ns0:t>
      </ns0:r>
      <ns0:r>
        <ns0:t>. [10]</ns0:t>
      </ns0:r>
    </ns0:p>
    <ns0:p ns2:paraId="02C96EB0" ns2:textId="77777777" ns0:rsidR="00EC64B6" ns0:rsidRDefault="00000000">
      <ns0:pPr>
        <ns0:keepLines/>
      </ns0:pPr>
      <ns0:r>
        <ns0:t>The Q1 increase in net operating revenues was driven entirely by U.S. concentrate operations. [2]</ns0:t>
      </ns0:r>
    </ns0:p>
    <ns0:p ns2:paraId="04A807C5" ns2:textId="77777777" ns0:rsidR="00EC64B6" ns0:rsidRDefault="00000000">
      <ns0:pPr>
        <ns0:keepLines/>
      </ns0:pPr>
      <ns0:r>
        <ns0:t>Fourth-quarter 2025 reported operating income increased 32%. [3]</ns0:t>
      </ns0:r>
    </ns0:p>
    <ns0:p ns2:paraId="3D3EBC07" ns2:textId="77777777" ns0:rsidR="00EC64B6" ns0:rsidRDefault="00000000">
      <ns0:pPr>
        <ns0:keepLines/>
      </ns0:pPr>
      <ns0:r>
        <ns0:t>The first-quarter 2025 release states that Coca-Cola expects marketing expense to decline 10% in 2026. [4]</ns0:t>
      </ns0:r>
    </ns0:p>
    <ns0:p ns2:paraId="2AC03080" ns2:textId="77777777" ns0:rsidR="00EC64B6" ns0:rsidRDefault="00000000">
      <ns0:pPr>
        <ns0:keepLines/>
      </ns0:pPr>
      <ns0:r>
        <ns0:t>In the second quarter of 2025, operating cash flow was negative $1.4 billion. [5]</ns0:t>
      </ns0:r>
    </ns0:p>
    <ns0:p ns2:paraId="2A11727F" ns2:textId="77777777" ns0:rsidR="00EC64B6" ns0:rsidRDefault="00000000">
      <ns0:pPr>
        <ns0:pStyle ns0:val="Heading1"/>
      </ns0:pPr>
      <ns0:r>
        <ns0:t>Conclusion</ns0:t>
      </ns0:r>
    </ns0:p>
    <ns0:p ns2:paraId="7A623D5D" ns2:textId="77777777" ns0:rsidR="00EC64B6" ns0:rsidRDefault="00000000">
      <ns0:pPr>
        <ns0:keepLines/>
      </ns0:pPr>
      <ns0:r>
        <ns0:t>The first quarter provides a stronger starting point for 2026, particularly on reported revenue and margin. The finance team should preserve flexibility in the operating plan until volume, price/mix, calendar, and cash effects are separated clearly.</ns0:t>
      </ns0:r>
    </ns0:p>
    <ns0:p ns2:paraId="25D900B6" ns2:textId="77777777" ns0:rsidR="00EC64B6" ns0:rsidRDefault="00000000">
      <ns0:pPr>
        <ns0:pStyle ns0:val="Heading1"/>
      </ns0:pPr>
      <ns0:r>
        <ns0:t>References</ns0:t>
      </ns0:r>
    </ns0:p>
    <ns0:p ns2:paraId="10FD1D90" ns2:textId="77777777" ns0:rsidR="00EC64B6" ns0:rsidRDefault="00000000">
      <ns0:pPr>
        <ns0:spacing ns0:after="40" ns0:line="240" ns0:lineRule="auto"/>
      </ns0:pPr>
      <ns0:bookmarkStart ns0:id="1" ns0:name="_Hlk233329554"/>
      <ns0:r>
        <ns0:rPr>
          <ns0:b/>
          <ns0:sz ns0:val="17"/>
        </ns0:rPr>
        <ns0:t xml:space="preserve">[1] </ns0:t>
      </ns0:r>
      <ns0:r>
        <ns0:rPr>
          <ns0:sz ns0:val="17"/>
        </ns0:rPr>
        <ns0:t xml:space="preserve">The Coca-Cola Company, “Coca-Cola Reports First Quarter 2026 Results and Updates Full Year Guidance” (April 28, 2026). </ns0:t>
      </ns0:r>
      <ns0:r>
        <ns0:rPr>
          <ns0:color ns0:val="005A96"/>
          <ns0:sz ns0:val="16"/>
        </ns0:rPr>
        <ns0:t>https://investors.coca-colacompany.com/news-events/press-releases/detail/1158/coca-cola-reports-first-quarter-2026-results-and-updates-full-year-guidance</ns0:t>
      </ns0:r>
    </ns0:p>
    <ns0:p ns2:paraId="5963CFD0" ns2:textId="77777777" ns0:rsidR="00EC64B6" ns0:rsidRDefault="00000000">
      <ns0:pPr>
        <ns0:spacing ns0:after="40" ns0:line="240" ns0:lineRule="auto"/>
      </ns0:pPr>
      <ns0:r>
        <ns0:rPr>
          <ns0:b/>
          <ns0:sz ns0:val="17"/>
        </ns0:rPr>
        <ns0:t xml:space="preserve">[2] </ns0:t>
      </ns0:r>
      <ns0:r>
        <ns0:rPr>
          <ns0:sz ns0:val="17"/>
        </ns0:rPr>
        <ns0:t xml:space="preserve">The Coca-Cola Company, Form 10-Q for the quarter ended April 3, 2026 (April 30, 2026). </ns0:t>
      </ns0:r>
      <ns0:r>
        <ns0:rPr>
          <ns0:color ns0:val="005A96"/>
          <ns0:sz ns0:val="16"/>
        </ns0:rPr>
        <ns0:t>https://investors.coca-colacompany.com/filings-reports/all-sec-filings/content/0001628280-26-028802/ko-20260403.htm</ns0:t>
      </ns0:r>
    </ns0:p>
    <ns0:p ns2:paraId="652848BC" ns2:textId="77777777" ns0:rsidR="00EC64B6" ns0:rsidRDefault="00000000">
      <ns0:pPr>
        <ns0:spacing ns0:after="40" ns0:line="240" ns0:lineRule="auto"/>
      </ns0:pPr>
      <ns0:r>
        <ns0:rPr>
          <ns0:b/>
          <ns0:sz ns0:val="17"/>
        </ns0:rPr>
        <ns0:t xml:space="preserve">[3] </ns0:t>
      </ns0:r>
      <ns0:r>
        <ns0:rPr>
          <ns0:sz ns0:val="17"/>
        </ns0:rPr>
        <ns0:t xml:space="preserve">The Coca-Cola Company, “Coca-Cola Reports Fourth Quarter and Full Year 2025 Results” (February 10, 2026). </ns0:t>
      </ns0:r>
      <ns0:r>
        <ns0:rPr>
          <ns0:color ns0:val="005A96"/>
          <ns0:sz ns0:val="16"/>
        </ns0:rPr>
        <ns0:t>https://investors.coca-colacompany.com/news-events/press-releases/detail/1151/coca-cola-reports-fourth-quarter-and-full-year-2025-results</ns0:t>
      </ns0:r>
    </ns0:p>
    <ns0:p ns2:paraId="557B3CE5" ns2:textId="77777777" ns0:rsidR="00EC64B6" ns0:rsidRDefault="00000000">
      <ns0:pPr>
        <ns0:spacing ns0:after="40" ns0:line="240" ns0:lineRule="auto"/>
      </ns0:pPr>
      <ns0:r>
        <ns0:rPr>
          <ns0:b/>
          <ns0:sz ns0:val="17"/>
        </ns0:rPr>
        <ns0:t xml:space="preserve">[4] </ns0:t>
      </ns0:r>
      <ns0:r>
        <ns0:rPr>
          <ns0:sz ns0:val="17"/>
        </ns0:rPr>
        <ns0:t xml:space="preserve">The Coca-Cola Company, “Coca-Cola Reports First Quarter 2025 Results” (April 29, 2025). </ns0:t>
      </ns0:r>
      <ns0:r>
        <ns0:rPr>
          <ns0:color ns0:val="005A96"/>
          <ns0:sz ns0:val="16"/>
        </ns0:rPr>
        <ns0:t>https://investors.coca-colacompany.com/news-events/press-releases/detail/1131/coca-cola-reports-first-quarter-2025-results</ns0:t>
      </ns0:r>
    </ns0:p>
    <ns0:p ns2:paraId="73DC0CE8" ns2:textId="77777777" ns0:rsidR="00EC64B6" ns0:rsidRDefault="00000000">
      <ns0:pPr>
        <ns0:spacing ns0:after="40" ns0:line="240" ns0:lineRule="auto"/>
      </ns0:pPr>
      <ns0:r>
        <ns0:rPr>
          <ns0:b/>
          <ns0:sz ns0:val="17"/>
        </ns0:rPr>
        <ns0:lastRenderedPageBreak/>
        <ns0:t xml:space="preserve">[5] </ns0:t>
      </ns0:r>
      <ns0:r>
        <ns0:rPr>
          <ns0:sz ns0:val="17"/>
        </ns0:rPr>
        <ns0:t xml:space="preserve">The Coca-Cola Company, “Coca-Cola Reports Second Quarter 2025 Results and Updates Full Year Guidance” (July 22, 2025). </ns0:t>
      </ns0:r>
      <ns0:r>
        <ns0:rPr>
          <ns0:color ns0:val="005A96"/>
          <ns0:sz ns0:val="16"/>
        </ns0:rPr>
        <ns0:t>https://investors.coca-colacompany.com/news-events/press-releases/detail/1138/coca-cola-reports-second-quarter-2025-results-and-updates-full-year-guidance</ns0:t>
      </ns0:r>
    </ns0:p>
    <ns0:p ns2:paraId="5BE819D0" ns2:textId="77777777" ns0:rsidR="00EC64B6" ns0:rsidRDefault="00000000">
      <ns0:pPr>
        <ns0:spacing ns0:after="40" ns0:line="240" ns0:lineRule="auto"/>
      </ns0:pPr>
      <ns0:r>
        <ns0:rPr>
          <ns0:b/>
          <ns0:sz ns0:val="17"/>
        </ns0:rPr>
        <ns0:t xml:space="preserve">[6] </ns0:t>
      </ns0:r>
      <ns0:r>
        <ns0:rPr>
          <ns0:sz ns0:val="17"/>
        </ns0:rPr>
        <ns0:t xml:space="preserve">The Coca-Cola Company, “Coca-Cola Reports Third Quarter 2025 Results” (October 21, 2025). </ns0:t>
      </ns0:r>
      <ns0:r>
        <ns0:rPr>
          <ns0:color ns0:val="005A96"/>
          <ns0:sz ns0:val="16"/>
        </ns0:rPr>
        <ns0:t>https://investors.coca-colacompany.com/news-events/press-releases/detail/1144/coca-cola-reports-third-quarter-2025-results</ns0:t>
      </ns0:r>
    </ns0:p>
    <ns0:p ns2:paraId="72333260" ns2:textId="77777777" ns0:rsidR="00EC64B6" ns0:rsidRDefault="00000000">
      <ns0:pPr>
        <ns0:spacing ns0:after="40" ns0:line="240" ns0:lineRule="auto"/>
      </ns0:pPr>
      <ns0:r>
        <ns0:rPr>
          <ns0:b/>
          <ns0:sz ns0:val="17"/>
        </ns0:rPr>
        <ns0:t xml:space="preserve">[7] </ns0:t>
      </ns0:r>
      <ns0:r>
        <ns0:rPr>
          <ns0:sz ns0:val="17"/>
        </ns0:rPr>
        <ns0:t xml:space="preserve">The Coca-Cola Company, Form 10-K for the year ended December 31, 2025 (February 20, 2026). </ns0:t>
      </ns0:r>
      <ns0:r>
        <ns0:rPr>
          <ns0:color ns0:val="005A96"/>
          <ns0:sz ns0:val="16"/>
        </ns0:rPr>
        <ns0:t>https://investors.coca-colacompany.com/filings-reports/all-sec-filings/content/0001628280-26-010047/ko-20251231.htm</ns0:t>
      </ns0:r>
    </ns0:p>
    <ns0:p ns2:paraId="312089B5" ns2:textId="77777777" ns0:rsidR="00EC64B6" ns0:rsidRDefault="00000000">
      <ns0:pPr>
        <ns0:spacing ns0:after="40" ns0:line="240" ns0:lineRule="auto"/>
      </ns0:pPr>
      <ns0:r>
        <ns0:rPr>
          <ns0:b/>
          <ns0:sz ns0:val="17"/>
        </ns0:rPr>
        <ns0:t xml:space="preserve">[8] </ns0:t>
      </ns0:r>
      <ns0:r>
        <ns0:rPr>
          <ns0:sz ns0:val="17"/>
        </ns0:rPr>
        <ns0:t xml:space="preserve">The Coca-Cola Company, Form 10-Q for the quarter ended September 26, 2025 (October 23, 2025). </ns0:t>
      </ns0:r>
      <ns0:r>
        <ns0:rPr>
          <ns0:color ns0:val="005A96"/>
          <ns0:sz ns0:val="16"/>
        </ns0:rPr>
        <ns0:t>https://investors.coca-colacompany.com/filings-reports/all-sec-filings/content/0001628280-25-046054/ko-20250926.htm</ns0:t>
      </ns0:r>
    </ns0:p>
    <ns0:p ns2:paraId="484FAFE8" ns2:textId="77777777" ns0:rsidR="00EC64B6" ns0:rsidRDefault="00000000">
      <ns0:pPr>
        <ns0:spacing ns0:after="40" ns0:line="240" ns0:lineRule="auto"/>
      </ns0:pPr>
      <ns0:r>
        <ns0:rPr>
          <ns0:b/>
          <ns0:sz ns0:val="17"/>
        </ns0:rPr>
        <ns0:t xml:space="preserve">[9] </ns0:t>
      </ns0:r>
      <ns0:r>
        <ns0:rPr>
          <ns0:sz ns0:val="17"/>
        </ns0:rPr>
        <ns0:t xml:space="preserve">The Coca-Cola Company, Form 10-Q for the quarter ended June 27, 2025 (July 24, 2025). </ns0:t>
      </ns0:r>
      <ns0:r>
        <ns0:rPr>
          <ns0:color ns0:val="005A96"/>
          <ns0:sz ns0:val="16"/>
        </ns0:rPr>
        <ns0:t>https://investors.coca-colacompany.com/filings-reports/all-sec-filings/content/0000021344-25-000061/ko-20250627.htm</ns0:t>
      </ns0:r>
    </ns0:p>
    <ns0:p ns2:paraId="341C383D" ns2:textId="0710B807" ns0:rsidR="00EC64B6" ns0:rsidRDefault="00000000">
      <ns0:pPr>
        <ns0:spacing ns0:after="40" ns0:line="240" ns0:lineRule="auto"/>
      </ns0:pPr>
      <ns0:r>
        <ns0:rPr>
          <ns0:b/>
          <ns0:sz ns0:val="17"/>
        </ns0:rPr>
        <ns0:t xml:space="preserve">[10] Coca-Cola Q1 2026 planning outlook. https://investors.coca-colacompany.co/news-events/press-releases/detail/1158/coca-cola-reports-first-quarter-2026-results-and-updates-full-year-guidance</ns0:t>
      </ns0:r>
      <ns0:r>
        <ns0:rPr>
          <ns0:sz ns0:val="17"/>
        </ns0:rPr>
        <ns0:t xml:space="preserve"/>
      </ns0:r>
      <ns0:r>
        <ns0:rPr>
          <ns0:color ns0:val="005A96"/>
          <ns0:sz ns0:val="16"/>
        </ns0:rPr>
        <ns0:t/>
      </ns0:r>
      <ns0:r ns0:rsidR="00555B86">
        <ns0:rPr>
          <ns0:color ns0:val="005A96"/>
          <ns0:sz ns0:val="16"/>
        </ns0:rPr>
        <ns0:t/>
      </ns0:r>
      <ns0:r>
        <ns0:rPr>
          <ns0:color ns0:val="005A96"/>
          <ns0:sz ns0:val="16"/>
        </ns0:rPr>
        <ns0:t/>
      </ns0:r>
      <ns0:bookmarkEnd ns0:id="1"/>
    </ns0:p>
    <ns0:sectPr ns0:rsidR="00EC64B6" ns0:rsidSect="00034616">
      <ns0:footerReference ns0:type="default" ns3:id="rId8"/>
      <ns0:pgSz ns0:w="12240" ns0:h="15840"/>
      <ns0:pgMar ns0:top="936" ns0:right="1080" ns0:bottom="936" ns0:left="1080" ns0:header="720" ns0:footer="720" ns0:gutter="0"/>
      <ns0:cols ns0:space="720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5B65E" w14:textId="77777777" w:rsidR="00073E2B" w:rsidRDefault="00073E2B">
      <w:pPr>
        <w:spacing w:after="0" w:line="240" w:lineRule="auto"/>
      </w:pPr>
      <w:r>
        <w:separator/>
      </w:r>
    </w:p>
  </w:endnote>
  <w:endnote w:type="continuationSeparator" w:id="0">
    <w:p w14:paraId="57C746F2" w14:textId="77777777" w:rsidR="00073E2B" w:rsidRDefault="00073E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9E522" w14:textId="77777777" w:rsidR="00EC64B6" w:rsidRDefault="00000000">
    <w:pPr>
      <w:pStyle w:val="Footer"/>
      <w:jc w:val="center"/>
    </w:pPr>
    <w:r>
      <w:rPr>
        <w:color w:val="646464"/>
        <w:sz w:val="16"/>
      </w:rPr>
      <w:t>Quantitative Business Evidence Verifier - Test Fixture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8BA0D" w14:textId="77777777" w:rsidR="00073E2B" w:rsidRDefault="00073E2B">
      <w:pPr>
        <w:spacing w:after="0" w:line="240" w:lineRule="auto"/>
      </w:pPr>
      <w:r>
        <w:separator/>
      </w:r>
    </w:p>
  </w:footnote>
  <w:footnote w:type="continuationSeparator" w:id="0">
    <w:p w14:paraId="1C66F390" w14:textId="77777777" w:rsidR="00073E2B" w:rsidRDefault="00073E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2929966">
    <w:abstractNumId w:val="8"/>
  </w:num>
  <w:num w:numId="2" w16cid:durableId="693652727">
    <w:abstractNumId w:val="6"/>
  </w:num>
  <w:num w:numId="3" w16cid:durableId="1742829995">
    <w:abstractNumId w:val="5"/>
  </w:num>
  <w:num w:numId="4" w16cid:durableId="285703366">
    <w:abstractNumId w:val="4"/>
  </w:num>
  <w:num w:numId="5" w16cid:durableId="1501114894">
    <w:abstractNumId w:val="7"/>
  </w:num>
  <w:num w:numId="6" w16cid:durableId="1170104164">
    <w:abstractNumId w:val="3"/>
  </w:num>
  <w:num w:numId="7" w16cid:durableId="953633298">
    <w:abstractNumId w:val="2"/>
  </w:num>
  <w:num w:numId="8" w16cid:durableId="2068457723">
    <w:abstractNumId w:val="1"/>
  </w:num>
  <w:num w:numId="9" w16cid:durableId="1018697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E2B"/>
    <w:rsid w:val="00074807"/>
    <w:rsid w:val="0015074B"/>
    <w:rsid w:val="0029639D"/>
    <w:rsid w:val="00326F90"/>
    <w:rsid w:val="0045098F"/>
    <w:rsid w:val="005224D0"/>
    <w:rsid w:val="00555B86"/>
    <w:rsid w:val="006A775B"/>
    <w:rsid w:val="006A7A01"/>
    <w:rsid w:val="007A056C"/>
    <w:rsid w:val="00AA1D8D"/>
    <w:rsid w:val="00B47730"/>
    <w:rsid w:val="00CB0664"/>
    <w:rsid w:val="00CE55F7"/>
    <w:rsid w:val="00EC64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49E917"/>
  <w14:defaultImageDpi w14:val="300"/>
  <w15:docId w15:val="{56D9DD23-A8C9-43A3-B9C6-CAE33DB33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/>
      <w:b/>
      <w:bCs/>
      <w:color w:val="1F4E79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b/>
      <w:bCs/>
      <w:color w:val="1F4E7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703</Words>
  <Characters>4011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gian putra</cp:lastModifiedBy>
  <cp:revision>3</cp:revision>
  <dcterms:created xsi:type="dcterms:W3CDTF">2013-12-23T23:15:00Z</dcterms:created>
  <dcterms:modified xsi:type="dcterms:W3CDTF">2026-06-26T11:19:00Z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bf0b78af-992a-4938-89f1-65675471081e</vt:lpwstr>
  </property>
</Properties>
</file>