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rPr>
        <w:t>Canadian Grocery Value and Demand Snapshot</w:t>
      </w:r>
    </w:p>
    <w:p>
      <w:pPr>
        <w:spacing w:after="140"/>
      </w:pPr>
      <w:r>
        <w:rPr>
          <w:rFonts w:ascii="Arial" w:hAnsi="Arial"/>
          <w:i/>
          <w:color w:val="5F5F5F"/>
          <w:sz w:val="20"/>
        </w:rPr>
        <w:t>Market intelligence and business strategy briefing</w:t>
      </w:r>
    </w:p>
    <w:p>
      <w:pPr>
        <w:pStyle w:val="Heading1"/>
      </w:pPr>
      <w:r>
        <w:t>Executive Summary</w:t>
      </w:r>
    </w:p>
    <w:p>
      <w:pPr>
        <w:keepLines/>
      </w:pPr>
      <w:r>
        <w:t>Food purchased from stores was 4.3% more expensive in May 2026 than a year earlier, compared with 3.2% headline CPI inflation. [1]</w:t>
      </w:r>
    </w:p>
    <w:p>
      <w:pPr>
        <w:keepLines/>
      </w:pPr>
      <w:r>
        <w:t>Total Canadian retail sales were $73.0 billion in April 2026, up 0.5% from March. [2]</w:t>
      </w:r>
    </w:p>
    <w:p>
      <w:pPr>
        <w:keepLines/>
      </w:pPr>
      <w:r>
        <w:t>The evidence points to ongoing consumer cost pressure alongside stable retailer revenue growth. Nominal sales therefore need to be interpreted carefully before making category, format, or pricing decisions.</w:t>
      </w:r>
    </w:p>
    <w:p>
      <w:pPr>
        <w:pStyle w:val="Heading1"/>
      </w:pPr>
      <w:r>
        <w:t>Consumer Cost Environment</w:t>
      </w:r>
    </w:p>
    <w:p>
      <w:pPr>
        <w:keepLines/>
      </w:pPr>
      <w:r>
        <w:t>On an annual-average basis, grocery prices increased 3.5% in 2025 after rising 2.2% in 2024. [3]</w:t>
      </w:r>
    </w:p>
    <w:p>
      <w:pPr>
        <w:keepLines/>
      </w:pPr>
      <w:r>
        <w:t>Loblaw reported first-quarter retail revenue of $14.484 billion, up 4.2% from the prior-year quarter. [4]</w:t>
      </w:r>
    </w:p>
    <w:p>
      <w:pPr>
        <w:keepLines/>
      </w:pPr>
      <w:r>
        <w:t>METRO reported second-quarter sales of $5.113 billion, up 4.1% from the prior-year quarter. [5]</w:t>
      </w:r>
    </w:p>
    <w:p>
      <w:pPr>
        <w:keepLines/>
      </w:pPr>
      <w:r>
        <w:t>Empire recorded a $746 million e-commerce impairment in the third quarter of fiscal 2026. [6]</w:t>
      </w:r>
    </w:p>
    <w:p>
      <w:pPr>
        <w:keepLines/>
      </w:pPr>
      <w:r>
        <w:t>Empire reported fourth-quarter fiscal 2026 sales of $7.807 billion, up 2.2% from the prior-year quarter. [7]</w:t>
      </w:r>
    </w:p>
    <w:p>
      <w:pPr>
        <w:pStyle w:val="Heading1"/>
      </w:pPr>
      <w:r>
        <w:t>Retailer Performance and Forecast Signals</w:t>
      </w:r>
    </w:p>
    <w:p>
      <w:pPr>
        <w:keepLines/>
      </w:pPr>
      <w:r>
        <w:t>The 2026 Canada Food Price Report forecast that overall food prices would increase by 4% to 6% during 2026. [8]</w:t>
      </w:r>
    </w:p>
    <w:p>
      <w:pPr>
        <w:keepLines/>
      </w:pPr>
      <w:r>
        <w:t>METRO reported first-quarter fiscal 2026 food same-store sales growth of 1.6%, or 1.9% after adjusting for the Christmas shift. [9]</w:t>
      </w:r>
    </w:p>
    <w:p>
      <w:pPr>
        <w:keepLines/>
      </w:pPr>
      <w:r>
        <w:t>The May CPI release indicates that food prices will decline below 2% during the summer of 2026. [10]</w:t>
      </w:r>
    </w:p>
    <w:p>
      <w:pPr>
        <w:keepLines/>
      </w:pPr>
      <w:r>
        <w:t>Fresh vegetable prices rose 9.0% year over year in May 2026. [1]</w:t>
      </w:r>
    </w:p>
    <w:p>
      <w:pPr>
        <w:pStyle w:val="Heading1"/>
      </w:pPr>
      <w:r>
        <w:t>Strategic Implications</w:t>
      </w:r>
    </w:p>
    <w:p>
      <w:pPr>
        <w:keepLines/>
      </w:pPr>
      <w:r>
        <w:t>April retail sales rose 0.5% to $73.0 billion, demonstrating that grocery consumption volume also increased 0.5% across Canada. [2]</w:t>
      </w:r>
    </w:p>
    <w:p>
      <w:pPr>
        <w:keepLines/>
      </w:pPr>
      <w:r>
        <w:t>Grocery prices increased 2.2% on an annual-average basis in 2025. [3]</w:t>
      </w:r>
    </w:p>
    <w:p>
      <w:pPr>
        <w:keepLines/>
      </w:pPr>
      <w:r>
        <w:t>Loblaw’s first-quarter release confirms that the company will reduce the number of new food retail stores by half in 2027. [4]</w:t>
      </w:r>
    </w:p>
    <w:p>
      <w:pPr>
        <w:keepLines/>
      </w:pPr>
      <w:r>
        <w:t>METRO reported adjusted second-quarter net earnings of $236.5 million, up 4.4% from the prior-year quarter. [5]</w:t>
      </w:r>
    </w:p>
    <w:p>
      <w:pPr>
        <w:pStyle w:val="Heading1"/>
      </w:pPr>
      <w:r>
        <w:t>Conclusion</w:t>
      </w:r>
    </w:p>
    <w:p>
      <w:pPr>
        <w:keepLines/>
      </w:pPr>
      <w:r>
        <w:t>Nominal retail sales growth and revenue momentum at large grocers indicate that affordability pressure has largely faded. The recommended response is to shift broad category investment away from value propositions and toward mainstream premiumization.</w:t>
      </w:r>
    </w:p>
    <w:p>
      <w:pPr>
        <w:pStyle w:val="Heading1"/>
      </w:pPr>
      <w:r>
        <w:t>References</w:t>
      </w:r>
    </w:p>
    <w:p>
      <w:pPr>
        <w:spacing w:after="40" w:line="240" w:lineRule="auto"/>
      </w:pPr>
      <w:r>
        <w:rPr>
          <w:b/>
          <w:sz w:val="17"/>
        </w:rPr>
        <w:t xml:space="preserve">[1] </w:t>
      </w:r>
      <w:r>
        <w:rPr>
          <w:sz w:val="17"/>
        </w:rPr>
        <w:t xml:space="preserve">Statistics Canada, “The Daily — Consumer Price Index, May 2026” (June 22, 2026). </w:t>
      </w:r>
      <w:r>
        <w:rPr>
          <w:color w:val="005A96"/>
          <w:sz w:val="16"/>
        </w:rPr>
        <w:t>https://www150.statcan.gc.ca/n1/daily-quotidien/260622/dq260622a-eng.htm</w:t>
      </w:r>
    </w:p>
    <w:p>
      <w:pPr>
        <w:spacing w:after="40" w:line="240" w:lineRule="auto"/>
      </w:pPr>
      <w:r>
        <w:rPr>
          <w:b/>
          <w:sz w:val="17"/>
        </w:rPr>
        <w:t xml:space="preserve">[2] </w:t>
      </w:r>
      <w:r>
        <w:rPr>
          <w:sz w:val="17"/>
        </w:rPr>
        <w:t xml:space="preserve">Statistics Canada, “The Daily — Retail trade, April 2026” (June 19, 2026). </w:t>
      </w:r>
      <w:r>
        <w:rPr>
          <w:color w:val="005A96"/>
          <w:sz w:val="16"/>
        </w:rPr>
        <w:t>https://www150.statcan.gc.ca/n1/daily-quotidien/260619/dq260619a-eng.htm</w:t>
      </w:r>
    </w:p>
    <w:p>
      <w:pPr>
        <w:spacing w:after="40" w:line="240" w:lineRule="auto"/>
      </w:pPr>
      <w:r>
        <w:rPr>
          <w:b/>
          <w:sz w:val="17"/>
        </w:rPr>
        <w:t xml:space="preserve">[3] </w:t>
      </w:r>
      <w:r>
        <w:rPr>
          <w:sz w:val="17"/>
        </w:rPr>
        <w:t xml:space="preserve">Statistics Canada, “The Daily — Consumer Price Index: Annual review, 2025” (January 19, 2026). </w:t>
      </w:r>
      <w:r>
        <w:rPr>
          <w:color w:val="005A96"/>
          <w:sz w:val="16"/>
        </w:rPr>
        <w:t>https://www150.statcan.gc.ca/n1/daily-quotidien/260119/dq260119b-eng.htm</w:t>
      </w:r>
    </w:p>
    <w:p>
      <w:pPr>
        <w:spacing w:after="40" w:line="240" w:lineRule="auto"/>
      </w:pPr>
      <w:r>
        <w:rPr>
          <w:b/>
          <w:sz w:val="17"/>
        </w:rPr>
        <w:t xml:space="preserve">[4] </w:t>
      </w:r>
      <w:r>
        <w:rPr>
          <w:sz w:val="17"/>
        </w:rPr>
        <w:t xml:space="preserve">Loblaw Companies Limited, “Loblaw Reports First Quarter Revenue Growth of 4.2%” (May 6, 2026). </w:t>
      </w:r>
      <w:r>
        <w:rPr>
          <w:color w:val="005A96"/>
          <w:sz w:val="16"/>
        </w:rPr>
        <w:t>https://www.loblaw.ca/en/loblaw-reports-first-quarter-revenue-growth-of-4-2-and-adjusted-diluted-net-earnings-per-common-share-growth-of-10-6/</w:t>
      </w:r>
    </w:p>
    <w:p>
      <w:pPr>
        <w:spacing w:after="40" w:line="240" w:lineRule="auto"/>
      </w:pPr>
      <w:r>
        <w:rPr>
          <w:b/>
          <w:sz w:val="17"/>
        </w:rPr>
        <w:t xml:space="preserve">[5] </w:t>
      </w:r>
      <w:r>
        <w:rPr>
          <w:sz w:val="17"/>
        </w:rPr>
        <w:t xml:space="preserve">METRO Inc., “METRO Reports 2026 Second Quarter Results” (April 22, 2026). </w:t>
      </w:r>
      <w:r>
        <w:rPr>
          <w:color w:val="005A96"/>
          <w:sz w:val="16"/>
        </w:rPr>
        <w:t>https://corpo.metro.ca/en/media/newsroom/2026/metro-reports-2026-the-second-quarter-results.html</w:t>
      </w:r>
    </w:p>
    <w:p>
      <w:pPr>
        <w:spacing w:after="40" w:line="240" w:lineRule="auto"/>
      </w:pPr>
      <w:r>
        <w:rPr>
          <w:b/>
          <w:sz w:val="17"/>
        </w:rPr>
        <w:t xml:space="preserve">[6] </w:t>
      </w:r>
      <w:r>
        <w:rPr>
          <w:sz w:val="17"/>
        </w:rPr>
        <w:t xml:space="preserve">Empire Company Limited, “Empire Reports Fiscal 2026 Third Quarter Results” (March 12, 2026). </w:t>
      </w:r>
      <w:r>
        <w:rPr>
          <w:color w:val="005A96"/>
          <w:sz w:val="16"/>
        </w:rPr>
        <w:t>https://www.empireco.ca/news/empire-reports-fiscal-2026-third-quarter-results</w:t>
      </w:r>
    </w:p>
    <w:p>
      <w:pPr>
        <w:spacing w:after="40" w:line="240" w:lineRule="auto"/>
      </w:pPr>
      <w:r>
        <w:rPr>
          <w:b/>
          <w:sz w:val="17"/>
        </w:rPr>
        <w:t xml:space="preserve">[7] </w:t>
      </w:r>
      <w:r>
        <w:rPr>
          <w:sz w:val="17"/>
        </w:rPr>
        <w:t xml:space="preserve">Empire Company Limited, “Empire Reports EPS of $0.94 in the Fourth Quarter and Fiscal 2026 Results” (June 18, 2026). </w:t>
      </w:r>
      <w:r>
        <w:rPr>
          <w:color w:val="005A96"/>
          <w:sz w:val="16"/>
        </w:rPr>
        <w:t>https://www.empireco.ca/news/empire-reports-eps-of-094-in-the-fourth-quarter-and-fiscal-2026-results</w:t>
      </w:r>
    </w:p>
    <w:p>
      <w:pPr>
        <w:spacing w:after="40" w:line="240" w:lineRule="auto"/>
      </w:pPr>
      <w:r>
        <w:rPr>
          <w:b/>
          <w:sz w:val="17"/>
        </w:rPr>
        <w:t xml:space="preserve">[8] </w:t>
      </w:r>
      <w:r>
        <w:rPr>
          <w:sz w:val="17"/>
        </w:rPr>
        <w:t xml:space="preserve">Government of Canada, “Question Period Note: 2026 Food Price Increases” (January 2026). </w:t>
      </w:r>
      <w:r>
        <w:rPr>
          <w:color w:val="005A96"/>
          <w:sz w:val="16"/>
        </w:rPr>
        <w:t>https://search.open.canada.ca/qpnotes/record/esdc-edsc%2CEF_050_20260105</w:t>
      </w:r>
    </w:p>
    <w:p>
      <w:pPr>
        <w:spacing w:after="40" w:line="240" w:lineRule="auto"/>
      </w:pPr>
      <w:r>
        <w:rPr>
          <w:b/>
          <w:sz w:val="17"/>
        </w:rPr>
        <w:t xml:space="preserve">[9] </w:t>
      </w:r>
      <w:r>
        <w:rPr>
          <w:sz w:val="17"/>
        </w:rPr>
        <w:t xml:space="preserve">METRO Inc., “METRO Reports 2026 First Quarter Results” (January 27, 2026). </w:t>
      </w:r>
      <w:r>
        <w:rPr>
          <w:color w:val="005A96"/>
          <w:sz w:val="16"/>
        </w:rPr>
        <w:t>https://corpo.metro.ca/en/media/newsroom/2026/metro-reports-2026-the-first-quarter-results.html</w:t>
      </w:r>
    </w:p>
    <w:p>
      <w:pPr>
        <w:spacing w:after="40" w:line="240" w:lineRule="auto"/>
      </w:pPr>
      <w:r>
        <w:rPr>
          <w:b/>
          <w:sz w:val="17"/>
        </w:rPr>
        <w:t xml:space="preserve">[10] </w:t>
      </w:r>
      <w:r>
        <w:rPr>
          <w:sz w:val="17"/>
        </w:rPr>
        <w:t xml:space="preserve">Statistics Canada May 2026 food-price outlook. </w:t>
      </w:r>
      <w:r>
        <w:rPr>
          <w:color w:val="005A96"/>
          <w:sz w:val="16"/>
        </w:rPr>
        <w:t>https://www150.statcan.gca/n1/daily-quotidien/260622/dq260622a-eng.htm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Quantitative Business Evidence Verifier - Test Fixture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eastAsia="Arial"/>
      <w:b/>
      <w:bCs/>
      <w:color w:val="1F4E79"/>
      <w:sz w:val="25"/>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rial" w:hAnsi="Arial" w:eastAsia="Arial"/>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