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line="460" w:lineRule="atLeast"/>
        <w:jc w:val="center"/>
      </w:pPr>
      <w:r>
        <w:rPr>
          <w:rFonts w:ascii="Calibri" w:eastAsia="Microsoft YaHei"/>
          <w:b/>
          <w:bCs/>
          <w:color w:val="14532D"/>
          <w:sz w:val="36"/>
          <w:szCs w:val="36"/>
        </w:rPr>
        <w:t xml:space="preserve">NASKAH DEMO 5 MENIT</w:t>
      </w:r>
    </w:p>
    <w:p>
      <w:pPr>
        <w:spacing w:after="60" w:before="0" w:line="400"/>
        <w:jc w:val="center"/>
      </w:pPr>
      <w:r>
        <w:rPr>
          <w:rFonts w:ascii="Calibri" w:eastAsia="Microsoft YaHei"/>
          <w:color w:val="6B7280"/>
          <w:sz w:val="22"/>
          <w:szCs w:val="22"/>
        </w:rPr>
        <w:t xml:space="preserve">Portal MUHDIN INDONESIA — Demonstrasi Ekosistem Haji &amp; Umrah Digital</w:t>
      </w:r>
    </w:p>
    <w:p>
      <w:pPr>
        <w:spacing w:after="60" w:before="0" w:line="400"/>
        <w:jc w:val="center"/>
      </w:pPr>
      <w:r>
        <w:rPr>
          <w:rFonts w:ascii="Calibri" w:eastAsia="Microsoft YaHei"/>
          <w:color w:val="6B7280"/>
          <w:sz w:val="22"/>
          <w:szCs w:val="22"/>
        </w:rPr>
        <w:t xml:space="preserve">Untuk Kunjungan Kehormatan Presiden Republik Indonesia</w:t>
      </w:r>
    </w:p>
    <w:p>
      <w:pPr>
        <w:pStyle w:val="Heading1"/>
        <w:spacing w:after="160" w:before="420" w:line="400"/>
      </w:pPr>
      <w:r>
        <w:rPr>
          <w:rFonts w:ascii="Calibri" w:eastAsia="Microsoft YaHei"/>
          <w:b/>
          <w:bCs/>
          <w:color w:val="14532D"/>
          <w:sz w:val="30"/>
          <w:szCs w:val="30"/>
        </w:rPr>
        <w:t xml:space="preserve">1. RINGKASAN EKSEKUSI</w:t>
      </w:r>
    </w:p>
    <w:p>
      <w:pPr>
        <w:spacing w:after="120" w:before="120" w:line="400"/>
        <w:jc w:val="left"/>
      </w:pPr>
      <w:r>
        <w:rPr>
          <w:rFonts w:ascii="Calibri" w:eastAsia="Microsoft YaHei"/>
          <w:b w:val="false"/>
          <w:bCs w:val="false"/>
          <w:i w:val="false"/>
          <w:iCs w:val="false"/>
          <w:color w:val="1F2937"/>
          <w:sz w:val="24"/>
          <w:szCs w:val="24"/>
        </w:rPr>
        <w:t xml:space="preserve">Naskah ini dirancang untuk demonstrasi langsung portal MUHDIN INDONESIA di hadapan Presiden RI dengan durasi ketat lima menit. Struktur dibagi menjadi </w:t>
      </w:r>
      <w:r>
        <w:rPr>
          <w:rFonts w:ascii="Calibri" w:eastAsia="Microsoft YaHei"/>
          <w:b/>
          <w:bCs/>
          <w:i w:val="false"/>
          <w:iCs w:val="false"/>
          <w:color w:val="166534"/>
          <w:sz w:val="24"/>
          <w:szCs w:val="24"/>
        </w:rPr>
        <w:t xml:space="preserve">delapan segmen</w:t>
      </w:r>
      <w:r>
        <w:rPr>
          <w:rFonts w:ascii="Calibri" w:eastAsia="Microsoft YaHei"/>
          <w:b w:val="false"/>
          <w:bCs w:val="false"/>
          <w:i w:val="false"/>
          <w:iCs w:val="false"/>
          <w:color w:val="1F2937"/>
          <w:sz w:val="24"/>
          <w:szCs w:val="24"/>
        </w:rPr>
        <w:t xml:space="preserve"> yang mengikuti urutan halaman persis seperti yang akan ditampilkan di layar. Setiap segmen memuat dua komponen: baris AKSI DEMONSTRATOR (gerakan di layar) dan teks BICARA (kalimat yang diucapkan, total sekitar 700 kata atau kecepatan bicara formal 140 kata per menit). Seluruh angka dan klaim dalam naskah diambil dari konten portal yang sesungguhnya sehingga aman dari inkonsistensi saat ditanya balik.</w:t>
      </w:r>
    </w:p>
    <w:tbl>
      <w:tblPr>
        <w:tblW w:type="pct" w:w="5000"/>
        <w:tblBorders>
          <w:top w:val="single" w:color="14532D" w:sz="4"/>
          <w:left w:val="none"/>
          <w:bottom w:val="single" w:color="14532D" w:sz="4"/>
          <w:right w:val="none"/>
          <w:insideH w:val="single" w:color="D1D5DB" w:sz="2"/>
          <w:insideV w:val="none"/>
        </w:tblBorders>
      </w:tblPr>
      <w:tblGrid>
        <w:gridCol w:w="2461"/>
        <w:gridCol w:w="6327"/>
      </w:tblGrid>
      <w:tr>
        <w:trPr>
          <w:cantSplit/>
          <w:tblHeader/>
        </w:trPr>
        <w:tc>
          <w:tcPr>
            <w:tcW w:type="pct" w:w="1400"/>
            <w:shd w:fill="F0FDF4" w:val="clear"/>
            <w:tcMar>
              <w:top w:type="dxa" w:w="80"/>
              <w:left w:type="dxa" w:w="140"/>
              <w:bottom w:type="dxa" w:w="80"/>
              <w:right w:type="dxa" w:w="140"/>
            </w:tcMar>
          </w:tcPr>
          <w:p>
            <w:pPr>
              <w:spacing w:line="320"/>
              <w:jc w:val="left"/>
            </w:pPr>
            <w:r>
              <w:rPr>
                <w:rFonts w:ascii="Calibri" w:eastAsia="Microsoft YaHei"/>
                <w:b/>
                <w:bCs/>
                <w:color w:val="14532D"/>
                <w:sz w:val="21"/>
                <w:szCs w:val="21"/>
              </w:rPr>
              <w:t xml:space="preserve">Komponen</w:t>
            </w:r>
          </w:p>
        </w:tc>
        <w:tc>
          <w:tcPr>
            <w:tcW w:type="pct" w:w="3600"/>
            <w:shd w:fill="F0FDF4" w:val="clear"/>
            <w:tcMar>
              <w:top w:type="dxa" w:w="80"/>
              <w:left w:type="dxa" w:w="140"/>
              <w:bottom w:type="dxa" w:w="80"/>
              <w:right w:type="dxa" w:w="140"/>
            </w:tcMar>
          </w:tcPr>
          <w:p>
            <w:pPr>
              <w:spacing w:line="320"/>
              <w:jc w:val="left"/>
            </w:pPr>
            <w:r>
              <w:rPr>
                <w:rFonts w:ascii="Calibri" w:eastAsia="Microsoft YaHei"/>
                <w:b/>
                <w:bCs/>
                <w:color w:val="14532D"/>
                <w:sz w:val="21"/>
                <w:szCs w:val="21"/>
              </w:rPr>
              <w:t xml:space="preserve">Keterangan</w:t>
            </w:r>
          </w:p>
        </w:tc>
      </w:tr>
      <w:tr>
        <w:trPr>
          <w:cantSplit/>
        </w:trPr>
        <w:tc>
          <w:tcPr>
            <w:tcW w:type="pct" w:w="140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Durasi total</w:t>
            </w:r>
          </w:p>
        </w:tc>
        <w:tc>
          <w:tcPr>
            <w:tcW w:type="pct" w:w="360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5 menit (8 segmen, rata-rata 35–45 detik per segmen)</w:t>
            </w:r>
          </w:p>
        </w:tc>
      </w:tr>
      <w:tr>
        <w:trPr>
          <w:cantSplit/>
        </w:trPr>
        <w:tc>
          <w:tcPr>
            <w:tcW w:type="pct" w:w="140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Audiens</w:t>
            </w:r>
          </w:p>
        </w:tc>
        <w:tc>
          <w:tcPr>
            <w:tcW w:type="pct" w:w="360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Presiden RI dan rombongan pendamping</w:t>
            </w:r>
          </w:p>
        </w:tc>
      </w:tr>
      <w:tr>
        <w:trPr>
          <w:cantSplit/>
        </w:trPr>
        <w:tc>
          <w:tcPr>
            <w:tcW w:type="pct" w:w="140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Halaman yang didemokan</w:t>
            </w:r>
          </w:p>
        </w:tc>
        <w:tc>
          <w:tcPr>
            <w:tcW w:type="pct" w:w="360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Beranda → Ekosistem 13 Layanan → Kepercayaan → Direktori Anggota → Admin CMS → Penutup</w:t>
            </w:r>
          </w:p>
        </w:tc>
      </w:tr>
      <w:tr>
        <w:trPr>
          <w:cantSplit/>
        </w:trPr>
        <w:tc>
          <w:tcPr>
            <w:tcW w:type="pct" w:w="140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Pesan kunci tunggal</w:t>
            </w:r>
          </w:p>
        </w:tc>
        <w:tc>
          <w:tcPr>
            <w:tcW w:type="pct" w:w="360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“Ekosistem umrah–haji digital pertama Indonesia: satu jaringan kepercayaan yang benar-benar dikelola”</w:t>
            </w:r>
          </w:p>
        </w:tc>
      </w:tr>
      <w:tr>
        <w:trPr>
          <w:cantSplit/>
        </w:trPr>
        <w:tc>
          <w:tcPr>
            <w:tcW w:type="pct" w:w="140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Prasyarat</w:t>
            </w:r>
          </w:p>
        </w:tc>
        <w:tc>
          <w:tcPr>
            <w:tcW w:type="pct" w:w="360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Server hidup (HTTP 200), dua tab browser siap: Tab 1 beranda, Tab 2 admin sudah login</w:t>
            </w:r>
          </w:p>
        </w:tc>
      </w:tr>
    </w:tbl>
    <w:p>
      <w:pPr>
        <w:pStyle w:val="Heading1"/>
        <w:spacing w:after="160" w:before="420" w:line="400"/>
      </w:pPr>
      <w:r>
        <w:rPr>
          <w:rFonts w:ascii="Calibri" w:eastAsia="Microsoft YaHei"/>
          <w:b/>
          <w:bCs/>
          <w:color w:val="14532D"/>
          <w:sz w:val="30"/>
          <w:szCs w:val="30"/>
        </w:rPr>
        <w:t xml:space="preserve">2. PERSIAPAN 30 MENIT SEBELUM DEMO</w:t>
      </w:r>
    </w:p>
    <w:p>
      <w:pPr>
        <w:keepNext/>
        <w:spacing w:after="120" w:before="120" w:line="400"/>
        <w:jc w:val="left"/>
      </w:pPr>
      <w:r>
        <w:rPr>
          <w:rFonts w:ascii="Calibri" w:eastAsia="Microsoft YaHei"/>
          <w:b w:val="false"/>
          <w:bCs w:val="false"/>
          <w:i w:val="false"/>
          <w:iCs w:val="false"/>
          <w:color w:val="1F2937"/>
          <w:sz w:val="24"/>
          <w:szCs w:val="24"/>
        </w:rPr>
        <w:t xml:space="preserve">Persiapan teknis menentukan 80 persen keberhasilan demo. Kerjakan daftar periksa berikut secara berurutan dan centang satu per satu; jangan melewati satu langkah pun meskipun terasa sederhana. Jika salah satu langkah gagal, selesaikan dulu sebelum melanjutkan karena kegagalan terkecil di depan layar besar akan memakan waktu yang paling berharga.</w:t>
      </w:r>
    </w:p>
    <w:p>
      <w:pPr>
        <w:pStyle w:val="ListParagraph"/>
        <w:numPr>
          <w:ilvl w:val="0"/>
          <w:numId w:val="2"/>
        </w:numPr>
        <w:spacing w:after="40" w:before="40" w:line="380"/>
      </w:pPr>
      <w:r>
        <w:rPr>
          <w:rFonts w:ascii="Calibri" w:eastAsia="Microsoft YaHei"/>
          <w:color w:val="1F2937"/>
          <w:sz w:val="23"/>
          <w:szCs w:val="23"/>
        </w:rPr>
        <w:t xml:space="preserve">Hidupkan server portal dan pastikan beranda merespons (perintah: bash scripts/dev-keep.sh, lalu cek HTTP 200).</w:t>
      </w:r>
    </w:p>
    <w:p>
      <w:pPr>
        <w:pStyle w:val="ListParagraph"/>
        <w:numPr>
          <w:ilvl w:val="0"/>
          <w:numId w:val="2"/>
        </w:numPr>
        <w:spacing w:after="40" w:before="40" w:line="380"/>
      </w:pPr>
      <w:r>
        <w:rPr>
          <w:rFonts w:ascii="Calibri" w:eastAsia="Microsoft YaHei"/>
          <w:color w:val="1F2937"/>
          <w:sz w:val="23"/>
          <w:szCs w:val="23"/>
        </w:rPr>
        <w:t xml:space="preserve">Buka Tab 1: beranda, mode layar penuh (F11), zoom 100 persen, scroll paling atas.</w:t>
      </w:r>
    </w:p>
    <w:p>
      <w:pPr>
        <w:pStyle w:val="ListParagraph"/>
        <w:numPr>
          <w:ilvl w:val="0"/>
          <w:numId w:val="2"/>
        </w:numPr>
        <w:spacing w:after="40" w:before="40" w:line="380"/>
      </w:pPr>
      <w:r>
        <w:rPr>
          <w:rFonts w:ascii="Calibri" w:eastAsia="Microsoft YaHei"/>
          <w:color w:val="1F2937"/>
          <w:sz w:val="23"/>
          <w:szCs w:val="23"/>
        </w:rPr>
        <w:t xml:space="preserve">Buka Tab 2: halaman admin dalam keadaan SUDAH LOGIN. Jangan pernah mengetik kata sandi di depan Presiden.</w:t>
      </w:r>
    </w:p>
    <w:p>
      <w:pPr>
        <w:pStyle w:val="ListParagraph"/>
        <w:numPr>
          <w:ilvl w:val="0"/>
          <w:numId w:val="2"/>
        </w:numPr>
        <w:spacing w:after="40" w:before="40" w:line="380"/>
      </w:pPr>
      <w:r>
        <w:rPr>
          <w:rFonts w:ascii="Calibri" w:eastAsia="Microsoft YaHei"/>
          <w:color w:val="1F2937"/>
          <w:sz w:val="23"/>
          <w:szCs w:val="23"/>
        </w:rPr>
        <w:t xml:space="preserve">Pastikan strip waktu Makkah yang hidup (live) tampil di beranda — ini detail kecil yang berkesan.</w:t>
      </w:r>
    </w:p>
    <w:p>
      <w:pPr>
        <w:pStyle w:val="ListParagraph"/>
        <w:numPr>
          <w:ilvl w:val="0"/>
          <w:numId w:val="2"/>
        </w:numPr>
        <w:spacing w:after="40" w:before="40" w:line="380"/>
      </w:pPr>
      <w:r>
        <w:rPr>
          <w:rFonts w:ascii="Calibri" w:eastAsia="Microsoft YaHei"/>
          <w:color w:val="1F2937"/>
          <w:sz w:val="23"/>
          <w:szCs w:val="23"/>
        </w:rPr>
        <w:t xml:space="preserve">Pilih satu kartu anggota terverifikasi dengan profil terlengkap untuk dibuka di Segmen 6.</w:t>
      </w:r>
    </w:p>
    <w:p>
      <w:pPr>
        <w:pStyle w:val="ListParagraph"/>
        <w:numPr>
          <w:ilvl w:val="0"/>
          <w:numId w:val="2"/>
        </w:numPr>
        <w:spacing w:after="40" w:before="40" w:line="380"/>
      </w:pPr>
      <w:r>
        <w:rPr>
          <w:rFonts w:ascii="Calibri" w:eastAsia="Microsoft YaHei"/>
          <w:color w:val="1F2937"/>
          <w:sz w:val="23"/>
          <w:szCs w:val="23"/>
        </w:rPr>
        <w:t xml:space="preserve">Aktifkan mode jangan ganggu (Do Not Disturb) di perangkat; matikan semua notifikasi.</w:t>
      </w:r>
    </w:p>
    <w:p>
      <w:pPr>
        <w:pStyle w:val="ListParagraph"/>
        <w:numPr>
          <w:ilvl w:val="0"/>
          <w:numId w:val="2"/>
        </w:numPr>
        <w:spacing w:after="40" w:before="40" w:line="380"/>
      </w:pPr>
      <w:r>
        <w:rPr>
          <w:rFonts w:ascii="Calibri" w:eastAsia="Microsoft YaHei"/>
          <w:color w:val="1F2937"/>
          <w:sz w:val="23"/>
          <w:szCs w:val="23"/>
        </w:rPr>
        <w:t xml:space="preserve">Uji koneksi internet; siapkan titik hotspot cadangan dan rekaman video 5 menit sebagai pengganti jika jaringan mati.</w:t>
      </w:r>
    </w:p>
    <w:p>
      <w:pPr>
        <w:pStyle w:val="ListParagraph"/>
        <w:numPr>
          <w:ilvl w:val="0"/>
          <w:numId w:val="2"/>
        </w:numPr>
        <w:spacing w:after="40" w:before="40" w:line="380"/>
      </w:pPr>
      <w:r>
        <w:rPr>
          <w:rFonts w:ascii="Calibri" w:eastAsia="Microsoft YaHei"/>
          <w:color w:val="1F2937"/>
          <w:sz w:val="23"/>
          <w:szCs w:val="23"/>
        </w:rPr>
        <w:t xml:space="preserve">Latihan penuh dua kali dengan stopwatch; pastikan total bicara maksimal 5 menit 15 detik.</w:t>
      </w:r>
    </w:p>
    <w:p>
      <w:pPr>
        <w:pStyle w:val="Heading1"/>
        <w:spacing w:after="160" w:before="420" w:line="400"/>
      </w:pPr>
      <w:r>
        <w:rPr>
          <w:rFonts w:ascii="Calibri" w:eastAsia="Microsoft YaHei"/>
          <w:b/>
          <w:bCs/>
          <w:color w:val="14532D"/>
          <w:sz w:val="30"/>
          <w:szCs w:val="30"/>
        </w:rPr>
        <w:t xml:space="preserve">3. PETA ALUR DEMO (URUTAN HALAMAN)</w:t>
      </w:r>
    </w:p>
    <w:p>
      <w:pPr>
        <w:keepNext/>
        <w:spacing w:after="120" w:before="120" w:line="400"/>
        <w:jc w:val="left"/>
      </w:pPr>
      <w:r>
        <w:rPr>
          <w:rFonts w:ascii="Calibri" w:eastAsia="Microsoft YaHei"/>
          <w:b w:val="false"/>
          <w:bCs w:val="false"/>
          <w:i w:val="false"/>
          <w:iCs w:val="false"/>
          <w:color w:val="1F2937"/>
          <w:sz w:val="24"/>
          <w:szCs w:val="24"/>
        </w:rPr>
        <w:t xml:space="preserve">Tabel berikut adalah peta jalan demonstrator. Angka waktu bersifat ketat: jika satu segmen molor, potong bagian dari segmen berikutnya, jangan dari penutup. Kalau waktu tinggal 30 detik dan demo belum sampai Segmen 7, langsung lompat ke Segmen 8 — penutup adalah bagian yang paling diingat Presiden.</w:t>
      </w:r>
    </w:p>
    <w:tbl>
      <w:tblPr>
        <w:tblW w:type="pct" w:w="5000"/>
        <w:tblBorders>
          <w:top w:val="single" w:color="14532D" w:sz="4"/>
          <w:left w:val="none"/>
          <w:bottom w:val="single" w:color="14532D" w:sz="4"/>
          <w:right w:val="none"/>
          <w:insideH w:val="single" w:color="D1D5DB" w:sz="2"/>
          <w:insideV w:val="none"/>
        </w:tblBorders>
      </w:tblPr>
      <w:tblGrid>
        <w:gridCol w:w="615"/>
        <w:gridCol w:w="1318"/>
        <w:gridCol w:w="3339"/>
        <w:gridCol w:w="3515"/>
      </w:tblGrid>
      <w:tr>
        <w:trPr>
          <w:cantSplit/>
          <w:tblHeader/>
        </w:trPr>
        <w:tc>
          <w:tcPr>
            <w:tcW w:type="pct" w:w="350"/>
            <w:shd w:fill="F0FDF4" w:val="clear"/>
            <w:tcMar>
              <w:top w:type="dxa" w:w="80"/>
              <w:left w:type="dxa" w:w="140"/>
              <w:bottom w:type="dxa" w:w="80"/>
              <w:right w:type="dxa" w:w="140"/>
            </w:tcMar>
          </w:tcPr>
          <w:p>
            <w:pPr>
              <w:spacing w:line="320"/>
              <w:jc w:val="left"/>
            </w:pPr>
            <w:r>
              <w:rPr>
                <w:rFonts w:ascii="Calibri" w:eastAsia="Microsoft YaHei"/>
                <w:b/>
                <w:bCs/>
                <w:color w:val="14532D"/>
                <w:sz w:val="21"/>
                <w:szCs w:val="21"/>
              </w:rPr>
              <w:t xml:space="preserve">No</w:t>
            </w:r>
          </w:p>
        </w:tc>
        <w:tc>
          <w:tcPr>
            <w:tcW w:type="pct" w:w="750"/>
            <w:shd w:fill="F0FDF4" w:val="clear"/>
            <w:tcMar>
              <w:top w:type="dxa" w:w="80"/>
              <w:left w:type="dxa" w:w="140"/>
              <w:bottom w:type="dxa" w:w="80"/>
              <w:right w:type="dxa" w:w="140"/>
            </w:tcMar>
          </w:tcPr>
          <w:p>
            <w:pPr>
              <w:spacing w:line="320"/>
              <w:jc w:val="left"/>
            </w:pPr>
            <w:r>
              <w:rPr>
                <w:rFonts w:ascii="Calibri" w:eastAsia="Microsoft YaHei"/>
                <w:b/>
                <w:bCs/>
                <w:color w:val="14532D"/>
                <w:sz w:val="21"/>
                <w:szCs w:val="21"/>
              </w:rPr>
              <w:t xml:space="preserve">Waktu</w:t>
            </w:r>
          </w:p>
        </w:tc>
        <w:tc>
          <w:tcPr>
            <w:tcW w:type="pct" w:w="1900"/>
            <w:shd w:fill="F0FDF4" w:val="clear"/>
            <w:tcMar>
              <w:top w:type="dxa" w:w="80"/>
              <w:left w:type="dxa" w:w="140"/>
              <w:bottom w:type="dxa" w:w="80"/>
              <w:right w:type="dxa" w:w="140"/>
            </w:tcMar>
          </w:tcPr>
          <w:p>
            <w:pPr>
              <w:spacing w:line="320"/>
              <w:jc w:val="left"/>
            </w:pPr>
            <w:r>
              <w:rPr>
                <w:rFonts w:ascii="Calibri" w:eastAsia="Microsoft YaHei"/>
                <w:b/>
                <w:bCs/>
                <w:color w:val="14532D"/>
                <w:sz w:val="21"/>
                <w:szCs w:val="21"/>
              </w:rPr>
              <w:t xml:space="preserve">Halaman / Rute</w:t>
            </w:r>
          </w:p>
        </w:tc>
        <w:tc>
          <w:tcPr>
            <w:tcW w:type="pct" w:w="2000"/>
            <w:shd w:fill="F0FDF4" w:val="clear"/>
            <w:tcMar>
              <w:top w:type="dxa" w:w="80"/>
              <w:left w:type="dxa" w:w="140"/>
              <w:bottom w:type="dxa" w:w="80"/>
              <w:right w:type="dxa" w:w="140"/>
            </w:tcMar>
          </w:tcPr>
          <w:p>
            <w:pPr>
              <w:spacing w:line="320"/>
              <w:jc w:val="left"/>
            </w:pPr>
            <w:r>
              <w:rPr>
                <w:rFonts w:ascii="Calibri" w:eastAsia="Microsoft YaHei"/>
                <w:b/>
                <w:bCs/>
                <w:color w:val="14532D"/>
                <w:sz w:val="21"/>
                <w:szCs w:val="21"/>
              </w:rPr>
              <w:t xml:space="preserve">Pesan Kunci</w:t>
            </w:r>
          </w:p>
        </w:tc>
      </w:tr>
      <w:tr>
        <w:trPr>
          <w:cantSplit/>
        </w:trPr>
        <w:tc>
          <w:tcPr>
            <w:tcW w:type="pct" w:w="35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1</w:t>
            </w:r>
          </w:p>
        </w:tc>
        <w:tc>
          <w:tcPr>
            <w:tcW w:type="pct" w:w="75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0:00–0:35</w:t>
            </w:r>
          </w:p>
        </w:tc>
        <w:tc>
          <w:tcPr>
            <w:tcW w:type="pct" w:w="190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Beranda — Hero (#/)</w:t>
            </w:r>
          </w:p>
        </w:tc>
        <w:tc>
          <w:tcPr>
            <w:tcW w:type="pct" w:w="200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Identitas, skala, dan alur ekosistem 5 aktor</w:t>
            </w:r>
          </w:p>
        </w:tc>
      </w:tr>
      <w:tr>
        <w:trPr>
          <w:cantSplit/>
        </w:trPr>
        <w:tc>
          <w:tcPr>
            <w:tcW w:type="pct" w:w="35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2</w:t>
            </w:r>
          </w:p>
        </w:tc>
        <w:tc>
          <w:tcPr>
            <w:tcW w:type="pct" w:w="75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0:35–1:10</w:t>
            </w:r>
          </w:p>
        </w:tc>
        <w:tc>
          <w:tcPr>
            <w:tcW w:type="pct" w:w="190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Beranda — The Idea</w:t>
            </w:r>
          </w:p>
        </w:tc>
        <w:tc>
          <w:tcPr>
            <w:tcW w:type="pct" w:w="200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Empat pilar: Connect, Verify, Collaborate, Integrate</w:t>
            </w:r>
          </w:p>
        </w:tc>
      </w:tr>
      <w:tr>
        <w:trPr>
          <w:cantSplit/>
        </w:trPr>
        <w:tc>
          <w:tcPr>
            <w:tcW w:type="pct" w:w="35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3</w:t>
            </w:r>
          </w:p>
        </w:tc>
        <w:tc>
          <w:tcPr>
            <w:tcW w:type="pct" w:w="75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1:10–1:50</w:t>
            </w:r>
          </w:p>
        </w:tc>
        <w:tc>
          <w:tcPr>
            <w:tcW w:type="pct" w:w="190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Beranda — Verified &amp; Keanggotaan</w:t>
            </w:r>
          </w:p>
        </w:tc>
        <w:tc>
          <w:tcPr>
            <w:tcW w:type="pct" w:w="200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Lencana verifikasi; keanggotaan 100% gratis</w:t>
            </w:r>
          </w:p>
        </w:tc>
      </w:tr>
      <w:tr>
        <w:trPr>
          <w:cantSplit/>
        </w:trPr>
        <w:tc>
          <w:tcPr>
            <w:tcW w:type="pct" w:w="35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4</w:t>
            </w:r>
          </w:p>
        </w:tc>
        <w:tc>
          <w:tcPr>
            <w:tcW w:type="pct" w:w="75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1:50–2:30</w:t>
            </w:r>
          </w:p>
        </w:tc>
        <w:tc>
          <w:tcPr>
            <w:tcW w:type="pct" w:w="190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Menu 13 Layanan Bisnis</w:t>
            </w:r>
          </w:p>
        </w:tc>
        <w:tc>
          <w:tcPr>
            <w:tcW w:type="pct" w:w="200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Kedalaman layanan end-to-end satu pintu</w:t>
            </w:r>
          </w:p>
        </w:tc>
      </w:tr>
      <w:tr>
        <w:trPr>
          <w:cantSplit/>
        </w:trPr>
        <w:tc>
          <w:tcPr>
            <w:tcW w:type="pct" w:w="35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5</w:t>
            </w:r>
          </w:p>
        </w:tc>
        <w:tc>
          <w:tcPr>
            <w:tcW w:type="pct" w:w="75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2:30–3:05</w:t>
            </w:r>
          </w:p>
        </w:tc>
        <w:tc>
          <w:tcPr>
            <w:tcW w:type="pct" w:w="190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Kepercayaan — Transparansi</w:t>
            </w:r>
          </w:p>
        </w:tc>
        <w:tc>
          <w:tcPr>
            <w:tcW w:type="pct" w:w="200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Tata kelola, UU PDP, dewan etik, jalur darurat</w:t>
            </w:r>
          </w:p>
        </w:tc>
      </w:tr>
      <w:tr>
        <w:trPr>
          <w:cantSplit/>
        </w:trPr>
        <w:tc>
          <w:tcPr>
            <w:tcW w:type="pct" w:w="35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6</w:t>
            </w:r>
          </w:p>
        </w:tc>
        <w:tc>
          <w:tcPr>
            <w:tcW w:type="pct" w:w="75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3:05–3:50</w:t>
            </w:r>
          </w:p>
        </w:tc>
        <w:tc>
          <w:tcPr>
            <w:tcW w:type="pct" w:w="190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Direktori Anggota + profil</w:t>
            </w:r>
          </w:p>
        </w:tc>
        <w:tc>
          <w:tcPr>
            <w:tcW w:type="pct" w:w="200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Jaringan 30+ provinsi terverifikasi</w:t>
            </w:r>
          </w:p>
        </w:tc>
      </w:tr>
      <w:tr>
        <w:trPr>
          <w:cantSplit/>
        </w:trPr>
        <w:tc>
          <w:tcPr>
            <w:tcW w:type="pct" w:w="35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7</w:t>
            </w:r>
          </w:p>
        </w:tc>
        <w:tc>
          <w:tcPr>
            <w:tcW w:type="pct" w:w="75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3:50–4:35</w:t>
            </w:r>
          </w:p>
        </w:tc>
        <w:tc>
          <w:tcPr>
            <w:tcW w:type="pct" w:w="190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Admin CMS (#/admin)</w:t>
            </w:r>
          </w:p>
        </w:tc>
        <w:tc>
          <w:tcPr>
            <w:tcW w:type="pct" w:w="200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Control tower: portal hidup yang dikelola</w:t>
            </w:r>
          </w:p>
        </w:tc>
      </w:tr>
      <w:tr>
        <w:trPr>
          <w:cantSplit/>
        </w:trPr>
        <w:tc>
          <w:tcPr>
            <w:tcW w:type="pct" w:w="35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8</w:t>
            </w:r>
          </w:p>
        </w:tc>
        <w:tc>
          <w:tcPr>
            <w:tcW w:type="pct" w:w="75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4:35–5:00</w:t>
            </w:r>
          </w:p>
        </w:tc>
        <w:tc>
          <w:tcPr>
            <w:tcW w:type="pct" w:w="190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Beranda — One Record &amp; Penutup</w:t>
            </w:r>
          </w:p>
        </w:tc>
        <w:tc>
          <w:tcPr>
            <w:tcW w:type="pct" w:w="200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Visi, permohonan arahan dan dukungan</w:t>
            </w:r>
          </w:p>
        </w:tc>
      </w:tr>
    </w:tbl>
    <w:p>
      <w:pPr>
        <w:pStyle w:val="Heading1"/>
        <w:spacing w:after="160" w:before="420" w:line="400"/>
      </w:pPr>
      <w:r>
        <w:rPr>
          <w:rFonts w:ascii="Calibri" w:eastAsia="Microsoft YaHei"/>
          <w:b/>
          <w:bCs/>
          <w:color w:val="14532D"/>
          <w:sz w:val="30"/>
          <w:szCs w:val="30"/>
        </w:rPr>
        <w:t xml:space="preserve">4. NASKAH DEMO — SEGMENTASI LENGKAP</w:t>
      </w:r>
    </w:p>
    <w:p>
      <w:pPr>
        <w:pStyle w:val="Heading2"/>
        <w:spacing w:after="100" w:before="340" w:line="400"/>
      </w:pPr>
      <w:r>
        <w:rPr>
          <w:rFonts w:ascii="Calibri" w:eastAsia="Microsoft YaHei"/>
          <w:b/>
          <w:bCs/>
          <w:color w:val="14532D"/>
          <w:sz w:val="26"/>
          <w:szCs w:val="26"/>
        </w:rPr>
        <w:t xml:space="preserve">Segmen 1 · 0:00–0:35 · Beranda — Hero</w:t>
      </w:r>
    </w:p>
    <w:p>
      <w:pPr>
        <w:spacing w:after="120" w:before="60" w:line="360"/>
        <w:ind w:left="360"/>
        <w:jc w:val="left"/>
      </w:pPr>
      <w:r>
        <w:rPr>
          <w:rFonts w:ascii="Calibri" w:eastAsia="Microsoft YaHei"/>
          <w:b/>
          <w:bCs/>
          <w:color w:val="B45309"/>
          <w:sz w:val="20"/>
          <w:szCs w:val="20"/>
        </w:rPr>
        <w:t xml:space="preserve">AKSI DEMONSTRATOR  </w:t>
      </w:r>
      <w:r>
        <w:rPr>
          <w:rFonts w:ascii="Calibri" w:eastAsia="Microsoft YaHei"/>
          <w:i/>
          <w:iCs/>
          <w:color w:val="6B7280"/>
          <w:sz w:val="21"/>
          <w:szCs w:val="21"/>
        </w:rPr>
        <w:t xml:space="preserve">Tab 1 sudah terbuka layar penuh pada hero beranda. Diamkan dua detik agar gambar Kabah tampil sempurna sebelum bicara. Tangan jangan menyentuh mouse.</w:t>
      </w:r>
    </w:p>
    <w:p>
      <w:pPr>
        <w:spacing w:after="160" w:before="120" w:line="400"/>
        <w:jc w:val="left"/>
      </w:pPr>
      <w:r>
        <w:rPr>
          <w:rFonts w:ascii="Calibri" w:eastAsia="Microsoft YaHei"/>
          <w:b w:val="false"/>
          <w:bCs w:val="false"/>
          <w:i w:val="false"/>
          <w:iCs w:val="false"/>
          <w:color w:val="1F2937"/>
          <w:sz w:val="24"/>
          <w:szCs w:val="24"/>
        </w:rPr>
        <w:t xml:space="preserve">Assalamualaikum warahmatullahi wabarakatuh. Bapak Presiden yang kami hormati, izinkan kami memperkenalkan </w:t>
      </w:r>
      <w:r>
        <w:rPr>
          <w:rFonts w:ascii="Calibri" w:eastAsia="Microsoft YaHei"/>
          <w:b/>
          <w:bCs/>
          <w:i w:val="false"/>
          <w:iCs w:val="false"/>
          <w:color w:val="166534"/>
          <w:sz w:val="24"/>
          <w:szCs w:val="24"/>
        </w:rPr>
        <w:t xml:space="preserve">MUHDIN INDONESIA</w:t>
      </w:r>
      <w:r>
        <w:rPr>
          <w:rFonts w:ascii="Calibri" w:eastAsia="Microsoft YaHei"/>
          <w:b w:val="false"/>
          <w:bCs w:val="false"/>
          <w:i w:val="false"/>
          <w:iCs w:val="false"/>
          <w:color w:val="1F2937"/>
          <w:sz w:val="24"/>
          <w:szCs w:val="24"/>
        </w:rPr>
        <w:t xml:space="preserve"> — ekosistem umrah dan haji digital pertama di Indonesia. Yang Bapak lihat adalah beranda portal kami: satu pintu yang menghubungkan seluruh perjalanan ibadah, dari Indonesia melalui MUHDIN dan penyelenggara perjalanan, menuju mitra layanan di Tanah Suci, hingga sampai kepada jamaah. Portal ini dibangun dalam tiga bahasa — Indonesia, Inggris, dan Arab — siap melayani jamaah di dalam negeri sekaligus mitra internasional.</w:t>
      </w:r>
    </w:p>
    <w:p>
      <w:pPr>
        <w:spacing w:after="40" w:before="40" w:line="320"/>
        <w:ind w:left="360"/>
      </w:pPr>
      <w:r>
        <w:rPr>
          <w:rFonts w:ascii="Calibri" w:eastAsia="Microsoft YaHei"/>
          <w:i/>
          <w:iCs/>
          <w:color w:val="999999"/>
          <w:sz w:val="20"/>
          <w:szCs w:val="20"/>
        </w:rPr>
        <w:t xml:space="preserve">[Jeda 1 detik setelah “ekosistem umrah dan haji digital pertama di Indonesia” — biarkan pesan utama duduk]</w:t>
      </w:r>
    </w:p>
    <w:p>
      <w:pPr>
        <w:pStyle w:val="Heading2"/>
        <w:spacing w:after="100" w:before="340" w:line="400"/>
      </w:pPr>
      <w:r>
        <w:rPr>
          <w:rFonts w:ascii="Calibri" w:eastAsia="Microsoft YaHei"/>
          <w:b/>
          <w:bCs/>
          <w:color w:val="14532D"/>
          <w:sz w:val="26"/>
          <w:szCs w:val="26"/>
        </w:rPr>
        <w:t xml:space="preserve">Segmen 2 · 0:35–1:10 · Beranda — The Idea (Empat Pilar)</w:t>
      </w:r>
    </w:p>
    <w:p>
      <w:pPr>
        <w:spacing w:after="120" w:before="60" w:line="360"/>
        <w:ind w:left="360"/>
        <w:jc w:val="left"/>
      </w:pPr>
      <w:r>
        <w:rPr>
          <w:rFonts w:ascii="Calibri" w:eastAsia="Microsoft YaHei"/>
          <w:b/>
          <w:bCs/>
          <w:color w:val="B45309"/>
          <w:sz w:val="20"/>
          <w:szCs w:val="20"/>
        </w:rPr>
        <w:t xml:space="preserve">AKSI DEMONSTRATOR  </w:t>
      </w:r>
      <w:r>
        <w:rPr>
          <w:rFonts w:ascii="Calibri" w:eastAsia="Microsoft YaHei"/>
          <w:i/>
          <w:iCs/>
          <w:color w:val="6B7280"/>
          <w:sz w:val="21"/>
          <w:szCs w:val="21"/>
        </w:rPr>
        <w:t xml:space="preserve">Scroll perlahan (satu kali gerakan halus) ke bagian THE IDEA — SATU EKOSISTEM UNTUK PERJALANAN YANG TERHUBUNG. Berhenti tepat agar empat kartu pilar terlihat lengkap.</w:t>
      </w:r>
    </w:p>
    <w:p>
      <w:pPr>
        <w:spacing w:after="160" w:before="120" w:line="400"/>
        <w:jc w:val="left"/>
      </w:pPr>
      <w:r>
        <w:rPr>
          <w:rFonts w:ascii="Calibri" w:eastAsia="Microsoft YaHei"/>
          <w:b w:val="false"/>
          <w:bCs w:val="false"/>
          <w:i w:val="false"/>
          <w:iCs w:val="false"/>
          <w:color w:val="1F2937"/>
          <w:sz w:val="24"/>
          <w:szCs w:val="24"/>
        </w:rPr>
        <w:t xml:space="preserve">Ekosistem haji dan umrah melibatkan banyak pihak yang selama ini berjalan sendiri-sendiri. Kami menyatukannya di atas empat pilar. </w:t>
      </w:r>
      <w:r>
        <w:rPr>
          <w:rFonts w:ascii="Calibri" w:eastAsia="Microsoft YaHei"/>
          <w:b/>
          <w:bCs/>
          <w:i w:val="false"/>
          <w:iCs w:val="false"/>
          <w:color w:val="166534"/>
          <w:sz w:val="24"/>
          <w:szCs w:val="24"/>
        </w:rPr>
        <w:t xml:space="preserve">Connect</w:t>
      </w:r>
      <w:r>
        <w:rPr>
          <w:rFonts w:ascii="Calibri" w:eastAsia="Microsoft YaHei"/>
          <w:b w:val="false"/>
          <w:bCs w:val="false"/>
          <w:i w:val="false"/>
          <w:iCs w:val="false"/>
          <w:color w:val="1F2937"/>
          <w:sz w:val="24"/>
          <w:szCs w:val="24"/>
        </w:rPr>
        <w:t xml:space="preserve"> — menghubungkan pelaku ekosistem yang relevan satu sama lain. </w:t>
      </w:r>
      <w:r>
        <w:rPr>
          <w:rFonts w:ascii="Calibri" w:eastAsia="Microsoft YaHei"/>
          <w:b/>
          <w:bCs/>
          <w:i w:val="false"/>
          <w:iCs w:val="false"/>
          <w:color w:val="166534"/>
          <w:sz w:val="24"/>
          <w:szCs w:val="24"/>
        </w:rPr>
        <w:t xml:space="preserve">Verify</w:t>
      </w:r>
      <w:r>
        <w:rPr>
          <w:rFonts w:ascii="Calibri" w:eastAsia="Microsoft YaHei"/>
          <w:b w:val="false"/>
          <w:bCs w:val="false"/>
          <w:i w:val="false"/>
          <w:iCs w:val="false"/>
          <w:color w:val="1F2937"/>
          <w:sz w:val="24"/>
          <w:szCs w:val="24"/>
        </w:rPr>
        <w:t xml:space="preserve"> — memastikan identitas dan dokumen diperiksa sebelum ada kerja sama. </w:t>
      </w:r>
      <w:r>
        <w:rPr>
          <w:rFonts w:ascii="Calibri" w:eastAsia="Microsoft YaHei"/>
          <w:b/>
          <w:bCs/>
          <w:i w:val="false"/>
          <w:iCs w:val="false"/>
          <w:color w:val="166534"/>
          <w:sz w:val="24"/>
          <w:szCs w:val="24"/>
        </w:rPr>
        <w:t xml:space="preserve">Collaborate</w:t>
      </w:r>
      <w:r>
        <w:rPr>
          <w:rFonts w:ascii="Calibri" w:eastAsia="Microsoft YaHei"/>
          <w:b w:val="false"/>
          <w:bCs w:val="false"/>
          <w:i w:val="false"/>
          <w:iCs w:val="false"/>
          <w:color w:val="1F2937"/>
          <w:sz w:val="24"/>
          <w:szCs w:val="24"/>
        </w:rPr>
        <w:t xml:space="preserve"> — memfasilitasi kemitraan bisnis antaranggota. Dan </w:t>
      </w:r>
      <w:r>
        <w:rPr>
          <w:rFonts w:ascii="Calibri" w:eastAsia="Microsoft YaHei"/>
          <w:b/>
          <w:bCs/>
          <w:i w:val="false"/>
          <w:iCs w:val="false"/>
          <w:color w:val="166534"/>
          <w:sz w:val="24"/>
          <w:szCs w:val="24"/>
        </w:rPr>
        <w:t xml:space="preserve">Integrate</w:t>
      </w:r>
      <w:r>
        <w:rPr>
          <w:rFonts w:ascii="Calibri" w:eastAsia="Microsoft YaHei"/>
          <w:b w:val="false"/>
          <w:bCs w:val="false"/>
          <w:i w:val="false"/>
          <w:iCs w:val="false"/>
          <w:color w:val="1F2937"/>
          <w:sz w:val="24"/>
          <w:szCs w:val="24"/>
        </w:rPr>
        <w:t xml:space="preserve"> — menyiapkan seluruh jaringan menuju sistem operasional digital MHUTU. Satu ekosistem, satu jaringan kepercayaan.</w:t>
      </w:r>
    </w:p>
    <w:p>
      <w:pPr>
        <w:pStyle w:val="Heading2"/>
        <w:spacing w:after="100" w:before="340" w:line="400"/>
      </w:pPr>
      <w:r>
        <w:rPr>
          <w:rFonts w:ascii="Calibri" w:eastAsia="Microsoft YaHei"/>
          <w:b/>
          <w:bCs/>
          <w:color w:val="14532D"/>
          <w:sz w:val="26"/>
          <w:szCs w:val="26"/>
        </w:rPr>
        <w:t xml:space="preserve">Segmen 3 · 1:10–1:50 · Beranda — MUHDIN Verified &amp; Keanggotaan</w:t>
      </w:r>
    </w:p>
    <w:p>
      <w:pPr>
        <w:spacing w:after="120" w:before="60" w:line="360"/>
        <w:ind w:left="360"/>
        <w:jc w:val="left"/>
      </w:pPr>
      <w:r>
        <w:rPr>
          <w:rFonts w:ascii="Calibri" w:eastAsia="Microsoft YaHei"/>
          <w:b/>
          <w:bCs/>
          <w:color w:val="B45309"/>
          <w:sz w:val="20"/>
          <w:szCs w:val="20"/>
        </w:rPr>
        <w:t xml:space="preserve">AKSI DEMONSTRATOR  </w:t>
      </w:r>
      <w:r>
        <w:rPr>
          <w:rFonts w:ascii="Calibri" w:eastAsia="Microsoft YaHei"/>
          <w:i/>
          <w:iCs/>
          <w:color w:val="6B7280"/>
          <w:sz w:val="21"/>
          <w:szCs w:val="21"/>
        </w:rPr>
        <w:t xml:space="preserve">Scroll ke bagian MUHDIN VERIFIED — KENALI MITRA. VERIFIKASI SEBELUM BERTRANSAKSI. Tahan di kolom “BUKAN” selama kalimat tentang bukan izin pemerintah diucapkan, lalu lanjut scroll ke bagian keanggotaan sampai strip GRATIS terlihat.</w:t>
      </w:r>
    </w:p>
    <w:p>
      <w:pPr>
        <w:spacing w:after="160" w:before="120" w:line="400"/>
        <w:jc w:val="left"/>
      </w:pPr>
      <w:r>
        <w:rPr>
          <w:rFonts w:ascii="Calibri" w:eastAsia="Microsoft YaHei"/>
          <w:b w:val="false"/>
          <w:bCs w:val="false"/>
          <w:i w:val="false"/>
          <w:iCs w:val="false"/>
          <w:color w:val="1F2937"/>
          <w:sz w:val="24"/>
          <w:szCs w:val="24"/>
        </w:rPr>
        <w:t xml:space="preserve">Inilah kunci kepercayaan kami: </w:t>
      </w:r>
      <w:r>
        <w:rPr>
          <w:rFonts w:ascii="Calibri" w:eastAsia="Microsoft YaHei"/>
          <w:b/>
          <w:bCs/>
          <w:i w:val="false"/>
          <w:iCs w:val="false"/>
          <w:color w:val="166534"/>
          <w:sz w:val="24"/>
          <w:szCs w:val="24"/>
        </w:rPr>
        <w:t xml:space="preserve">MUHDIN Verified</w:t>
      </w:r>
      <w:r>
        <w:rPr>
          <w:rFonts w:ascii="Calibri" w:eastAsia="Microsoft YaHei"/>
          <w:b w:val="false"/>
          <w:bCs w:val="false"/>
          <w:i w:val="false"/>
          <w:iCs w:val="false"/>
          <w:color w:val="1F2937"/>
          <w:sz w:val="24"/>
          <w:szCs w:val="24"/>
        </w:rPr>
        <w:t xml:space="preserve">. Setiap organisasi dan penyedia layanan diperiksa identitas dan dokumennya sebelum mendapat lencana verifikasi. Dan kami jujur menuliskannya di sini: MUHDIN Verified bukan izin pemerintah dan bukan penggantinya — kami melengkapi regulasi negara, bukan menyalahinya. Yang istimewa, keanggotaan MUHDIN sepenuhnya gratis: tanpa biaya pendaftaran, tanpa iuran. Dua belas kategori pelaku ekosistem, dari penyelenggara perjalanan, hotel, transportasi, hingga profesional teknologi, diterima dengan standar kepercayaan yang sama.</w:t>
      </w:r>
    </w:p>
    <w:p>
      <w:pPr>
        <w:spacing w:after="40" w:before="40" w:line="320"/>
        <w:ind w:left="360"/>
      </w:pPr>
      <w:r>
        <w:rPr>
          <w:rFonts w:ascii="Calibri" w:eastAsia="Microsoft YaHei"/>
          <w:i/>
          <w:iCs/>
          <w:color w:val="999999"/>
          <w:sz w:val="20"/>
          <w:szCs w:val="20"/>
        </w:rPr>
        <w:t xml:space="preserve">[Tekankan kata “gratis” dengan intonasi turun-naik — biasanya memancing reaksi positif pendamping]</w:t>
      </w:r>
    </w:p>
    <w:p>
      <w:pPr>
        <w:pStyle w:val="Heading2"/>
        <w:spacing w:after="100" w:before="340" w:line="400"/>
      </w:pPr>
      <w:r>
        <w:rPr>
          <w:rFonts w:ascii="Calibri" w:eastAsia="Microsoft YaHei"/>
          <w:b/>
          <w:bCs/>
          <w:color w:val="14532D"/>
          <w:sz w:val="26"/>
          <w:szCs w:val="26"/>
        </w:rPr>
        <w:t xml:space="preserve">Segmen 4 · 1:50–2:30 · Menu Utama — 13 Layanan Bisnis</w:t>
      </w:r>
    </w:p>
    <w:p>
      <w:pPr>
        <w:spacing w:after="120" w:before="60" w:line="360"/>
        <w:ind w:left="360"/>
        <w:jc w:val="left"/>
      </w:pPr>
      <w:r>
        <w:rPr>
          <w:rFonts w:ascii="Calibri" w:eastAsia="Microsoft YaHei"/>
          <w:b/>
          <w:bCs/>
          <w:color w:val="B45309"/>
          <w:sz w:val="20"/>
          <w:szCs w:val="20"/>
        </w:rPr>
        <w:t xml:space="preserve">AKSI DEMONSTRATOR  </w:t>
      </w:r>
      <w:r>
        <w:rPr>
          <w:rFonts w:ascii="Calibri" w:eastAsia="Microsoft YaHei"/>
          <w:i/>
          <w:iCs/>
          <w:color w:val="6B7280"/>
          <w:sz w:val="21"/>
          <w:szCs w:val="21"/>
        </w:rPr>
        <w:t xml:space="preserve">Arahkan kursor ke menu PERIZINAN hingga dropdown turun, tunjukkan lima detik, tutup. Lalu buka halaman Ekosistem (#/ekosistem) yang memuat 13 layanan bisnis. Jangan buka lebih dari dua dropdown — hemat waktu.</w:t>
      </w:r>
    </w:p>
    <w:p>
      <w:pPr>
        <w:spacing w:after="160" w:before="120" w:line="400"/>
        <w:jc w:val="left"/>
      </w:pPr>
      <w:r>
        <w:rPr>
          <w:rFonts w:ascii="Calibri" w:eastAsia="Microsoft YaHei"/>
          <w:b w:val="false"/>
          <w:bCs w:val="false"/>
          <w:i w:val="false"/>
          <w:iCs w:val="false"/>
          <w:color w:val="1F2937"/>
          <w:sz w:val="24"/>
          <w:szCs w:val="24"/>
        </w:rPr>
        <w:t xml:space="preserve">Dari menu utama, Bapak dapat melihat kedalaman layanan kami. Tiga belas layanan bisnis dalam satu pintu: perizinan lima jenis mulai dari IATA, PT, PT BPW, PPIU, hingga PIHK; sertifikasi tiga peran tenaga ibadah — tour leader, tour guide, dan muthowif; pengurusan paspor beserta empat jenis visa umrah, ziyarah, amil, dan haji; transportasi mulai dari bus, GMC, hingga kereta cepat; serta layanan vaksin perjalanan. Setiap layanan memiliki halaman lengkap berisi persyaratan dan prosedur. Jamaah tidak perlu lagi mengejar informasi yang tercecer — semuanya sudah satu pintu.</w:t>
      </w:r>
    </w:p>
    <w:p>
      <w:pPr>
        <w:pStyle w:val="Heading2"/>
        <w:spacing w:after="100" w:before="340" w:line="400"/>
      </w:pPr>
      <w:r>
        <w:rPr>
          <w:rFonts w:ascii="Calibri" w:eastAsia="Microsoft YaHei"/>
          <w:b/>
          <w:bCs/>
          <w:color w:val="14532D"/>
          <w:sz w:val="26"/>
          <w:szCs w:val="26"/>
        </w:rPr>
        <w:t xml:space="preserve">Segmen 5 · 2:30–3:05 · Menu KEPERCAYAAN — Transparansi</w:t>
      </w:r>
    </w:p>
    <w:p>
      <w:pPr>
        <w:spacing w:after="120" w:before="60" w:line="360"/>
        <w:ind w:left="360"/>
        <w:jc w:val="left"/>
      </w:pPr>
      <w:r>
        <w:rPr>
          <w:rFonts w:ascii="Calibri" w:eastAsia="Microsoft YaHei"/>
          <w:b/>
          <w:bCs/>
          <w:color w:val="B45309"/>
          <w:sz w:val="20"/>
          <w:szCs w:val="20"/>
        </w:rPr>
        <w:t xml:space="preserve">AKSI DEMONSTRATOR  </w:t>
      </w:r>
      <w:r>
        <w:rPr>
          <w:rFonts w:ascii="Calibri" w:eastAsia="Microsoft YaHei"/>
          <w:i/>
          <w:iCs/>
          <w:color w:val="6B7280"/>
          <w:sz w:val="21"/>
          <w:szCs w:val="21"/>
        </w:rPr>
        <w:t xml:space="preserve">Buka dropdown KEPERCAYAAN, klik TRANSPARANSI. Berhenti di bagian indikator transparansi. Bicara tenang — segmen ini yang paling menarik perhatian pejabat pendamping.</w:t>
      </w:r>
    </w:p>
    <w:p>
      <w:pPr>
        <w:spacing w:after="160" w:before="120" w:line="400"/>
        <w:jc w:val="left"/>
      </w:pPr>
      <w:r>
        <w:rPr>
          <w:rFonts w:ascii="Calibri" w:eastAsia="Microsoft YaHei"/>
          <w:b w:val="false"/>
          <w:bCs w:val="false"/>
          <w:i w:val="false"/>
          <w:iCs w:val="false"/>
          <w:color w:val="1F2937"/>
          <w:sz w:val="24"/>
          <w:szCs w:val="24"/>
        </w:rPr>
        <w:t xml:space="preserve">Menu Kepercayaan adalah infrastruktur tata kelola kami: regulasi, transparansi, dewan etik, perlindungan data pribadi sesuai </w:t>
      </w:r>
      <w:r>
        <w:rPr>
          <w:rFonts w:ascii="Calibri" w:eastAsia="Microsoft YaHei"/>
          <w:b/>
          <w:bCs/>
          <w:i w:val="false"/>
          <w:iCs w:val="false"/>
          <w:color w:val="166534"/>
          <w:sz w:val="24"/>
          <w:szCs w:val="24"/>
        </w:rPr>
        <w:t xml:space="preserve">Undang-Undang PDP</w:t>
      </w:r>
      <w:r>
        <w:rPr>
          <w:rFonts w:ascii="Calibri" w:eastAsia="Microsoft YaHei"/>
          <w:b w:val="false"/>
          <w:bCs w:val="false"/>
          <w:i w:val="false"/>
          <w:iCs w:val="false"/>
          <w:color w:val="1F2937"/>
          <w:sz w:val="24"/>
          <w:szCs w:val="24"/>
        </w:rPr>
        <w:t xml:space="preserve">, dan jalur darurat jamaah yang siaga. Data jamaah dilindungi dengan kontrol akses berlapis, setiap aktivitas admin meninggalkan jejak audit, dan setiap keluhan jamaah tercatat sampai selesai ditangani. Kepercayaan bukan slogan di halaman depan — ia dirancang di dalam sistem.</w:t>
      </w:r>
    </w:p>
    <w:p>
      <w:pPr>
        <w:pStyle w:val="Heading2"/>
        <w:spacing w:after="100" w:before="340" w:line="400"/>
      </w:pPr>
      <w:r>
        <w:rPr>
          <w:rFonts w:ascii="Calibri" w:eastAsia="Microsoft YaHei"/>
          <w:b/>
          <w:bCs/>
          <w:color w:val="14532D"/>
          <w:sz w:val="26"/>
          <w:szCs w:val="26"/>
        </w:rPr>
        <w:t xml:space="preserve">Segmen 6 · 3:05–3:50 · Direktori Anggota + Profil</w:t>
      </w:r>
    </w:p>
    <w:p>
      <w:pPr>
        <w:spacing w:after="120" w:before="60" w:line="360"/>
        <w:ind w:left="360"/>
        <w:jc w:val="left"/>
      </w:pPr>
      <w:r>
        <w:rPr>
          <w:rFonts w:ascii="Calibri" w:eastAsia="Microsoft YaHei"/>
          <w:b/>
          <w:bCs/>
          <w:color w:val="B45309"/>
          <w:sz w:val="20"/>
          <w:szCs w:val="20"/>
        </w:rPr>
        <w:t xml:space="preserve">AKSI DEMONSTRATOR  </w:t>
      </w:r>
      <w:r>
        <w:rPr>
          <w:rFonts w:ascii="Calibri" w:eastAsia="Microsoft YaHei"/>
          <w:i/>
          <w:iCs/>
          <w:color w:val="6B7280"/>
          <w:sz w:val="21"/>
          <w:szCs w:val="21"/>
        </w:rPr>
        <w:t xml:space="preserve">Klik menu DIREKTORI ANGGOTA. Setelah daftar tampil, klik satu kartu anggota terverifikasi yang sudah disiapkan. Biarkan profil terbuka saat kalimat terakhir diucapkan.</w:t>
      </w:r>
    </w:p>
    <w:p>
      <w:pPr>
        <w:spacing w:after="160" w:before="120" w:line="400"/>
        <w:jc w:val="left"/>
      </w:pPr>
      <w:r>
        <w:rPr>
          <w:rFonts w:ascii="Calibri" w:eastAsia="Microsoft YaHei"/>
          <w:b w:val="false"/>
          <w:bCs w:val="false"/>
          <w:i w:val="false"/>
          <w:iCs w:val="false"/>
          <w:color w:val="1F2937"/>
          <w:sz w:val="24"/>
          <w:szCs w:val="24"/>
        </w:rPr>
        <w:t xml:space="preserve">Ini direktori anggota kami — jaringan pelaku ekosistem lintas lebih dari tiga puluh provinsi. Setiap anggota memiliki profil lengkap: izin usaha, penilaian layanan, dan lencana MUHDIN Verified. Saya buka satu contoh — Bapak melihat profil paspor pasokan (supply passport): identitas, kategori layanan, kapasitas, dokumen, dan status verifikasi dalam satu halaman. Prinsip kami satu kalimat: </w:t>
      </w:r>
      <w:r>
        <w:rPr>
          <w:rFonts w:ascii="Calibri" w:eastAsia="Microsoft YaHei"/>
          <w:b/>
          <w:bCs/>
          <w:i w:val="false"/>
          <w:iCs w:val="false"/>
          <w:color w:val="166534"/>
          <w:sz w:val="24"/>
          <w:szCs w:val="24"/>
        </w:rPr>
        <w:t xml:space="preserve">“No proof, no trusted inventory”</w:t>
      </w:r>
      <w:r>
        <w:rPr>
          <w:rFonts w:ascii="Calibri" w:eastAsia="Microsoft YaHei"/>
          <w:b w:val="false"/>
          <w:bCs w:val="false"/>
          <w:i w:val="false"/>
          <w:iCs w:val="false"/>
          <w:color w:val="1F2937"/>
          <w:sz w:val="24"/>
          <w:szCs w:val="24"/>
        </w:rPr>
        <w:t xml:space="preserve"> — tanpa bukti, tidak ada inventaris yang layak dipercaya.</w:t>
      </w:r>
    </w:p>
    <w:p>
      <w:pPr>
        <w:pStyle w:val="Heading2"/>
        <w:spacing w:after="100" w:before="340" w:line="400"/>
      </w:pPr>
      <w:r>
        <w:rPr>
          <w:rFonts w:ascii="Calibri" w:eastAsia="Microsoft YaHei"/>
          <w:b/>
          <w:bCs/>
          <w:color w:val="14532D"/>
          <w:sz w:val="26"/>
          <w:szCs w:val="26"/>
        </w:rPr>
        <w:t xml:space="preserve">Segmen 7 · 3:50–4:35 · Admin CMS — Control Tower</w:t>
      </w:r>
    </w:p>
    <w:p>
      <w:pPr>
        <w:spacing w:after="120" w:before="60" w:line="360"/>
        <w:ind w:left="360"/>
        <w:jc w:val="left"/>
      </w:pPr>
      <w:r>
        <w:rPr>
          <w:rFonts w:ascii="Calibri" w:eastAsia="Microsoft YaHei"/>
          <w:b/>
          <w:bCs/>
          <w:color w:val="B45309"/>
          <w:sz w:val="20"/>
          <w:szCs w:val="20"/>
        </w:rPr>
        <w:t xml:space="preserve">AKSI DEMONSTRATOR  </w:t>
      </w:r>
      <w:r>
        <w:rPr>
          <w:rFonts w:ascii="Calibri" w:eastAsia="Microsoft YaHei"/>
          <w:i/>
          <w:iCs/>
          <w:color w:val="6B7280"/>
          <w:sz w:val="21"/>
          <w:szCs w:val="21"/>
        </w:rPr>
        <w:t xml:space="preserve">Beralih ke Tab 2 (admin sudah login). Tampilkan dashboard beberapa detik, klik satu modul (misalnya kelola konten atau anggota), tunjukkan antarmuka penyuntingan, jangan mengubah apa pun. Kembali ke dashboard.</w:t>
      </w:r>
    </w:p>
    <w:p>
      <w:pPr>
        <w:spacing w:after="160" w:before="120" w:line="400"/>
        <w:jc w:val="left"/>
      </w:pPr>
      <w:r>
        <w:rPr>
          <w:rFonts w:ascii="Calibri" w:eastAsia="Microsoft YaHei"/>
          <w:b w:val="false"/>
          <w:bCs w:val="false"/>
          <w:i w:val="false"/>
          <w:iCs w:val="false"/>
          <w:color w:val="1F2937"/>
          <w:sz w:val="24"/>
          <w:szCs w:val="24"/>
        </w:rPr>
        <w:t xml:space="preserve">Dan inilah yang membuat MUHDIN lebih dari sekadar situs: </w:t>
      </w:r>
      <w:r>
        <w:rPr>
          <w:rFonts w:ascii="Calibri" w:eastAsia="Microsoft YaHei"/>
          <w:b/>
          <w:bCs/>
          <w:i w:val="false"/>
          <w:iCs w:val="false"/>
          <w:color w:val="166534"/>
          <w:sz w:val="24"/>
          <w:szCs w:val="24"/>
        </w:rPr>
        <w:t xml:space="preserve">control tower</w:t>
      </w:r>
      <w:r>
        <w:rPr>
          <w:rFonts w:ascii="Calibri" w:eastAsia="Microsoft YaHei"/>
          <w:b w:val="false"/>
          <w:bCs w:val="false"/>
          <w:i w:val="false"/>
          <w:iCs w:val="false"/>
          <w:color w:val="1F2937"/>
          <w:sz w:val="24"/>
          <w:szCs w:val="24"/>
        </w:rPr>
        <w:t xml:space="preserve"> atau piring kendali. Panel admin kami mengelola seluruh isi portal secara langsung — konten halaman, berita, agenda, galeri, keanggotaan, hingga pengaduan jamaah dan jejak audit. Apa pun yang tim kami ketik di panel ini, langsung tampil di portal yang baru saja Bapak lihat. Artinya portal ini hidup: dikelola setiap hari oleh tim kami, dengan catatan audit yang dapat diperiksa kapan pun oleh siapa pun yang diberi wewenang.</w:t>
      </w:r>
    </w:p>
    <w:p>
      <w:pPr>
        <w:spacing w:after="40" w:before="40" w:line="320"/>
        <w:ind w:left="360"/>
      </w:pPr>
      <w:r>
        <w:rPr>
          <w:rFonts w:ascii="Calibri" w:eastAsia="Microsoft YaHei"/>
          <w:i/>
          <w:iCs/>
          <w:color w:val="999999"/>
          <w:sz w:val="20"/>
          <w:szCs w:val="20"/>
        </w:rPr>
        <w:t xml:space="preserve">[Jangan tunjukkan nama akun, kata sandi, atau alamat surel di layar — cukup dashboard dan satu modul]</w:t>
      </w:r>
    </w:p>
    <w:p>
      <w:pPr>
        <w:pStyle w:val="Heading2"/>
        <w:spacing w:after="100" w:before="340" w:line="400"/>
      </w:pPr>
      <w:r>
        <w:rPr>
          <w:rFonts w:ascii="Calibri" w:eastAsia="Microsoft YaHei"/>
          <w:b/>
          <w:bCs/>
          <w:color w:val="14532D"/>
          <w:sz w:val="26"/>
          <w:szCs w:val="26"/>
        </w:rPr>
        <w:t xml:space="preserve">Segmen 8 · 4:35–5:00 · Beranda — One Record &amp; Penutup</w:t>
      </w:r>
    </w:p>
    <w:p>
      <w:pPr>
        <w:spacing w:after="120" w:before="60" w:line="360"/>
        <w:ind w:left="360"/>
        <w:jc w:val="left"/>
      </w:pPr>
      <w:r>
        <w:rPr>
          <w:rFonts w:ascii="Calibri" w:eastAsia="Microsoft YaHei"/>
          <w:b/>
          <w:bCs/>
          <w:color w:val="B45309"/>
          <w:sz w:val="20"/>
          <w:szCs w:val="20"/>
        </w:rPr>
        <w:t xml:space="preserve">AKSI DEMONSTRATOR  </w:t>
      </w:r>
      <w:r>
        <w:rPr>
          <w:rFonts w:ascii="Calibri" w:eastAsia="Microsoft YaHei"/>
          <w:i/>
          <w:iCs/>
          <w:color w:val="6B7280"/>
          <w:sz w:val="21"/>
          <w:szCs w:val="21"/>
        </w:rPr>
        <w:t xml:space="preserve">Kembali ke Tab 1, scroll ke bagian ONE PILGRIM ONE JOURNEY ONE RECORD, lalu diamkan layar di ajakan terakhir. Tangan dilepaskan dari mouse. Bungkukkan sedikit kepala pada kalimat permohonan arahan.</w:t>
      </w:r>
    </w:p>
    <w:p>
      <w:pPr>
        <w:spacing w:after="160" w:before="120" w:line="400"/>
        <w:jc w:val="left"/>
      </w:pPr>
      <w:r>
        <w:rPr>
          <w:rFonts w:ascii="Calibri" w:eastAsia="Microsoft YaHei"/>
          <w:b w:val="false"/>
          <w:bCs w:val="false"/>
          <w:i w:val="false"/>
          <w:iCs w:val="false"/>
          <w:color w:val="1F2937"/>
          <w:sz w:val="24"/>
          <w:szCs w:val="24"/>
        </w:rPr>
        <w:t xml:space="preserve">Terakhir, inilah prinsip yang kami perjuangkan: </w:t>
      </w:r>
      <w:r>
        <w:rPr>
          <w:rFonts w:ascii="Calibri" w:eastAsia="Microsoft YaHei"/>
          <w:b/>
          <w:bCs/>
          <w:i w:val="false"/>
          <w:iCs w:val="false"/>
          <w:color w:val="166534"/>
          <w:sz w:val="24"/>
          <w:szCs w:val="24"/>
        </w:rPr>
        <w:t xml:space="preserve">one pilgrim, one journey, one record</w:t>
      </w:r>
      <w:r>
        <w:rPr>
          <w:rFonts w:ascii="Calibri" w:eastAsia="Microsoft YaHei"/>
          <w:b w:val="false"/>
          <w:bCs w:val="false"/>
          <w:i w:val="false"/>
          <w:iCs w:val="false"/>
          <w:color w:val="1F2937"/>
          <w:sz w:val="24"/>
          <w:szCs w:val="24"/>
        </w:rPr>
        <w:t xml:space="preserve"> — satu jamaah, satu perjalanan, satu catatan utuh dari pendaftaran hingga kepulangan di tanah air. Bapak Presiden, MUHDIN Indonesia siap menjadi mitra negara dalam menjaga keselamatan, kenyamanan, dan martabat jamaah Indonesia. Kami memohon arahan dan dukungan Bapak agar ekosistem ini dapat melayani lebih banyak jamaah dari seluruh pelosok negeri. Atas kehadiran dan perhatian Bapak, kami haturkan terima kasih. Wassalamualaikum warahmatullahi wabarakatuh.</w:t>
      </w:r>
    </w:p>
    <w:p>
      <w:pPr>
        <w:pStyle w:val="Heading1"/>
        <w:spacing w:after="160" w:before="420" w:line="400"/>
      </w:pPr>
      <w:r>
        <w:rPr>
          <w:rFonts w:ascii="Calibri" w:eastAsia="Microsoft YaHei"/>
          <w:b/>
          <w:bCs/>
          <w:color w:val="14532D"/>
          <w:sz w:val="30"/>
          <w:szCs w:val="30"/>
        </w:rPr>
        <w:t xml:space="preserve">5. ANTISIPASI PERTANYAAN PRESIDEN</w:t>
      </w:r>
    </w:p>
    <w:p>
      <w:pPr>
        <w:keepNext/>
        <w:spacing w:after="120" w:before="120" w:line="400"/>
        <w:jc w:val="left"/>
      </w:pPr>
      <w:r>
        <w:rPr>
          <w:rFonts w:ascii="Calibri" w:eastAsia="Microsoft YaHei"/>
          <w:b w:val="false"/>
          <w:bCs w:val="false"/>
          <w:i w:val="false"/>
          <w:iCs w:val="false"/>
          <w:color w:val="1F2937"/>
          <w:sz w:val="24"/>
          <w:szCs w:val="24"/>
        </w:rPr>
        <w:t xml:space="preserve">Jika Presiden atau menteri pendamping mengajukan pertanyaan setelah demo, jawab dengan struktur satu kalimat inti plus satu kalimat penjelas — tidak lebih. Jawaban yang terlalu panjang justru melemahkan posisi. Empat pertanyaan berikut adalah yang paling mungkin muncul berdasarkan materi yang ditampilkan.</w:t>
      </w:r>
    </w:p>
    <w:tbl>
      <w:tblPr>
        <w:tblW w:type="pct" w:w="5000"/>
        <w:tblBorders>
          <w:top w:val="single" w:color="14532D" w:sz="4"/>
          <w:left w:val="none"/>
          <w:bottom w:val="single" w:color="14532D" w:sz="4"/>
          <w:right w:val="none"/>
          <w:insideH w:val="single" w:color="D1D5DB" w:sz="2"/>
          <w:insideV w:val="none"/>
        </w:tblBorders>
      </w:tblPr>
      <w:tblGrid>
        <w:gridCol w:w="3339"/>
        <w:gridCol w:w="5449"/>
      </w:tblGrid>
      <w:tr>
        <w:trPr>
          <w:cantSplit/>
          <w:tblHeader/>
        </w:trPr>
        <w:tc>
          <w:tcPr>
            <w:tcW w:type="pct" w:w="1900"/>
            <w:shd w:fill="F0FDF4" w:val="clear"/>
            <w:tcMar>
              <w:top w:type="dxa" w:w="80"/>
              <w:left w:type="dxa" w:w="140"/>
              <w:bottom w:type="dxa" w:w="80"/>
              <w:right w:type="dxa" w:w="140"/>
            </w:tcMar>
          </w:tcPr>
          <w:p>
            <w:pPr>
              <w:spacing w:line="320"/>
              <w:jc w:val="left"/>
            </w:pPr>
            <w:r>
              <w:rPr>
                <w:rFonts w:ascii="Calibri" w:eastAsia="Microsoft YaHei"/>
                <w:b/>
                <w:bCs/>
                <w:color w:val="14532D"/>
                <w:sz w:val="21"/>
                <w:szCs w:val="21"/>
              </w:rPr>
              <w:t xml:space="preserve">Pertanyaan</w:t>
            </w:r>
          </w:p>
        </w:tc>
        <w:tc>
          <w:tcPr>
            <w:tcW w:type="pct" w:w="3100"/>
            <w:shd w:fill="F0FDF4" w:val="clear"/>
            <w:tcMar>
              <w:top w:type="dxa" w:w="80"/>
              <w:left w:type="dxa" w:w="140"/>
              <w:bottom w:type="dxa" w:w="80"/>
              <w:right w:type="dxa" w:w="140"/>
            </w:tcMar>
          </w:tcPr>
          <w:p>
            <w:pPr>
              <w:spacing w:line="320"/>
              <w:jc w:val="left"/>
            </w:pPr>
            <w:r>
              <w:rPr>
                <w:rFonts w:ascii="Calibri" w:eastAsia="Microsoft YaHei"/>
                <w:b/>
                <w:bCs/>
                <w:color w:val="14532D"/>
                <w:sz w:val="21"/>
                <w:szCs w:val="21"/>
              </w:rPr>
              <w:t xml:space="preserve">Jawaban Inti</w:t>
            </w:r>
          </w:p>
        </w:tc>
      </w:tr>
      <w:tr>
        <w:trPr>
          <w:cantSplit/>
        </w:trPr>
        <w:tc>
          <w:tcPr>
            <w:tcW w:type="pct" w:w="190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Apa bedanya MUHDIN dengan sistem pemerintah yang sudah ada?</w:t>
            </w:r>
          </w:p>
        </w:tc>
        <w:tc>
          <w:tcPr>
            <w:tcW w:type="pct" w:w="310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MUHDIN adalah asosiasi ekosistem pelaku industri yang melengkapi, bukan menggantikan, peran negara. MUHDIN Verified secara eksplisit bukan izin pemerintah — posisi kami jelas dan tertulis di portal.</w:t>
            </w:r>
          </w:p>
        </w:tc>
      </w:tr>
      <w:tr>
        <w:trPr>
          <w:cantSplit/>
        </w:trPr>
        <w:tc>
          <w:tcPr>
            <w:tcW w:type="pct" w:w="190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Bagaimana keamanan data jamaah?</w:t>
            </w:r>
          </w:p>
        </w:tc>
        <w:tc>
          <w:tcPr>
            <w:tcW w:type="pct" w:w="310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Kami mematuhi Undang-Undang Pelindungan Data Pribadi: kontrol akses berlapis per peran, jejak audit seluruh aktivitas admin, dan jalur pengaduan yang tercatat sampai tuntas.</w:t>
            </w:r>
          </w:p>
        </w:tc>
      </w:tr>
      <w:tr>
        <w:trPr>
          <w:cantSplit/>
        </w:trPr>
        <w:tc>
          <w:tcPr>
            <w:tcW w:type="pct" w:w="190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Bagaimana model pendanaannya?</w:t>
            </w:r>
          </w:p>
        </w:tc>
        <w:tc>
          <w:tcPr>
            <w:tcW w:type="pct" w:w="310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Keanggotaan sepenuhnya gratis bagi semua kategori anggota. Pendanaan operasional bersumber dari kemitraan strategis yang disepakati secara khusus, bukan dari pungutan anggota.</w:t>
            </w:r>
          </w:p>
        </w:tc>
      </w:tr>
      <w:tr>
        <w:trPr>
          <w:cantSplit/>
        </w:trPr>
        <w:tc>
          <w:tcPr>
            <w:tcW w:type="pct" w:w="190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Kapan implementasi nasionalnya?</w:t>
            </w:r>
          </w:p>
        </w:tc>
        <w:tc>
          <w:tcPr>
            <w:tcW w:type="pct" w:w="310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Kampanye Founding Ecosystem 2026 sedang merekrut seratus organisasi dan profesional pertama sebagai fondasi, dengan peta jalan bertahap menuju 2030.</w:t>
            </w:r>
          </w:p>
        </w:tc>
      </w:tr>
      <w:tr>
        <w:trPr>
          <w:cantSplit/>
        </w:trPr>
        <w:tc>
          <w:tcPr>
            <w:tcW w:type="pct" w:w="190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Apa hubungan MUHDIN dengan MHUTU?</w:t>
            </w:r>
          </w:p>
        </w:tc>
        <w:tc>
          <w:tcPr>
            <w:tcW w:type="pct" w:w="3100"/>
            <w:tcMar>
              <w:top w:type="dxa" w:w="80"/>
              <w:left w:type="dxa" w:w="140"/>
              <w:bottom w:type="dxa" w:w="80"/>
              <w:right w:type="dxa" w:w="140"/>
            </w:tcMar>
          </w:tcPr>
          <w:p>
            <w:pPr>
              <w:spacing w:line="320"/>
              <w:jc w:val="left"/>
            </w:pPr>
            <w:r>
              <w:rPr>
                <w:rFonts w:ascii="Calibri" w:eastAsia="Microsoft YaHei"/>
                <w:b w:val="false"/>
                <w:bCs w:val="false"/>
                <w:color w:val="1F2937"/>
                <w:sz w:val="21"/>
                <w:szCs w:val="21"/>
              </w:rPr>
              <w:t xml:space="preserve">MUHDIN membangun jaringan dan kepercayaan; MHUTU membangun sistem operasional digitalnya. Keduanya dirancang saling terhubung sejak awal.</w:t>
            </w:r>
          </w:p>
        </w:tc>
      </w:tr>
    </w:tbl>
    <w:p>
      <w:pPr>
        <w:pStyle w:val="Heading1"/>
        <w:spacing w:after="160" w:before="420" w:line="400"/>
      </w:pPr>
      <w:r>
        <w:rPr>
          <w:rFonts w:ascii="Calibri" w:eastAsia="Microsoft YaHei"/>
          <w:b/>
          <w:bCs/>
          <w:color w:val="14532D"/>
          <w:sz w:val="30"/>
          <w:szCs w:val="30"/>
        </w:rPr>
        <w:t xml:space="preserve">6. ATURAN EMAS &amp; RENCANA CADANGAN</w:t>
      </w:r>
    </w:p>
    <w:p>
      <w:pPr>
        <w:spacing w:after="120" w:before="120" w:line="400"/>
        <w:jc w:val="left"/>
      </w:pPr>
      <w:r>
        <w:rPr>
          <w:rFonts w:ascii="Calibri" w:eastAsia="Microsoft YaHei"/>
          <w:b w:val="false"/>
          <w:bCs w:val="false"/>
          <w:i w:val="false"/>
          <w:iCs w:val="false"/>
          <w:color w:val="1F2937"/>
          <w:sz w:val="24"/>
          <w:szCs w:val="24"/>
        </w:rPr>
        <w:t xml:space="preserve">Tiga aturan emas saat tampil. </w:t>
      </w:r>
      <w:r>
        <w:rPr>
          <w:rFonts w:ascii="Calibri" w:eastAsia="Microsoft YaHei"/>
          <w:b/>
          <w:bCs/>
          <w:i w:val="false"/>
          <w:iCs w:val="false"/>
          <w:color w:val="1F2937"/>
          <w:sz w:val="24"/>
          <w:szCs w:val="24"/>
        </w:rPr>
        <w:t xml:space="preserve">Pertama</w:t>
      </w:r>
      <w:r>
        <w:rPr>
          <w:rFonts w:ascii="Calibri" w:eastAsia="Microsoft YaHei"/>
          <w:b w:val="false"/>
          <w:bCs w:val="false"/>
          <w:i w:val="false"/>
          <w:iCs w:val="false"/>
          <w:color w:val="1F2937"/>
          <w:sz w:val="24"/>
          <w:szCs w:val="24"/>
        </w:rPr>
        <w:t xml:space="preserve">, jangan pernah mengetik apa pun yang memuat kredensial di depan Presiden — halaman admin harus dibuka dalam keadaan sudah masuk. </w:t>
      </w:r>
      <w:r>
        <w:rPr>
          <w:rFonts w:ascii="Calibri" w:eastAsia="Microsoft YaHei"/>
          <w:b/>
          <w:bCs/>
          <w:i w:val="false"/>
          <w:iCs w:val="false"/>
          <w:color w:val="1F2937"/>
          <w:sz w:val="24"/>
          <w:szCs w:val="24"/>
        </w:rPr>
        <w:t xml:space="preserve">Kedua</w:t>
      </w:r>
      <w:r>
        <w:rPr>
          <w:rFonts w:ascii="Calibri" w:eastAsia="Microsoft YaHei"/>
          <w:b w:val="false"/>
          <w:bCs w:val="false"/>
          <w:i w:val="false"/>
          <w:iCs w:val="false"/>
          <w:color w:val="1F2937"/>
          <w:sz w:val="24"/>
          <w:szCs w:val="24"/>
        </w:rPr>
        <w:t xml:space="preserve">, gerakan scroll harus pelan dan selalu berhenti sebelum bicara; layar yang terus bergerak membuat audiens membaca alih-alih mendengarkan. </w:t>
      </w:r>
      <w:r>
        <w:rPr>
          <w:rFonts w:ascii="Calibri" w:eastAsia="Microsoft YaHei"/>
          <w:b/>
          <w:bCs/>
          <w:i w:val="false"/>
          <w:iCs w:val="false"/>
          <w:color w:val="1F2937"/>
          <w:sz w:val="24"/>
          <w:szCs w:val="24"/>
        </w:rPr>
        <w:t xml:space="preserve">Ketiga</w:t>
      </w:r>
      <w:r>
        <w:rPr>
          <w:rFonts w:ascii="Calibri" w:eastAsia="Microsoft YaHei"/>
          <w:b w:val="false"/>
          <w:bCs w:val="false"/>
          <w:i w:val="false"/>
          <w:iCs w:val="false"/>
          <w:color w:val="1F2937"/>
          <w:sz w:val="24"/>
          <w:szCs w:val="24"/>
        </w:rPr>
        <w:t xml:space="preserve">, patuhi angka waktu di peta alur: bila waktu mepet, pangkas isi Segmen 4 (cukup sebut tanpa membuka dropdown) dan jangan pernah memangkas penutup.</w:t>
      </w:r>
    </w:p>
    <w:p>
      <w:pPr>
        <w:spacing w:after="120" w:before="120" w:line="400"/>
        <w:jc w:val="left"/>
      </w:pPr>
      <w:r>
        <w:rPr>
          <w:rFonts w:ascii="Calibri" w:eastAsia="Microsoft YaHei"/>
          <w:b w:val="false"/>
          <w:bCs w:val="false"/>
          <w:i w:val="false"/>
          <w:iCs w:val="false"/>
          <w:color w:val="1F2937"/>
          <w:sz w:val="24"/>
          <w:szCs w:val="24"/>
        </w:rPr>
        <w:t xml:space="preserve">Rencana cadangan bila teknologi berkhianat. Bila beranda gagal dimuat, muat ulang satu kali dengan tenang sambil melanjutkan narasi; bila tetap gagal, beralih ke rekaman video cadangan yang sudah disiapkan dan sampaikan kalimat penjembatan: “Untuk memastikan tampilan paling mulus, izinkan kami menunjukkan rekaman langsung dari portal yang sama.” Bila koneksi mati total, gunakan hotspot pribadi. Apa pun yang terjadi, jangan minta maaf berlebihan — satu kalimat penjembatan yang tenang jauh lebih profesional daripada berkali-kali meminta maaf.</w:t>
      </w:r>
    </w:p>
    <w:p>
      <w:pPr>
        <w:spacing w:after="200" w:before="120" w:line="400"/>
        <w:jc w:val="left"/>
      </w:pPr>
      <w:r>
        <w:rPr>
          <w:rFonts w:ascii="Calibri" w:eastAsia="Microsoft YaHei"/>
          <w:b w:val="false"/>
          <w:bCs w:val="false"/>
          <w:i w:val="false"/>
          <w:iCs w:val="false"/>
          <w:color w:val="1F2937"/>
          <w:sz w:val="24"/>
          <w:szCs w:val="24"/>
        </w:rPr>
        <w:t xml:space="preserve">Catatan penyusunan: seluruh klaim angka dalam naskah (tiga belas layanan bisnis, dua belas kategori keanggotaan, tiga puluh lebih provinsi, tiga bahasa) diambil langsung dari konten portal dan aman disampaikan. Data anggota yang tampil saat demo adalah data contoh isi portal — sampaikan sebagai profil contoh tanpa perlu menyorotinya. Latih naskah ini dua kali dengan stopwatch sebelum hari-H; kecepatan bicara formal yang sehat untuk lima menit adalah sekitar seratus empat puluh kata per menit.</w:t>
      </w:r>
    </w:p>
    <w:sectPr>
      <w:headerReference w:type="default" r:id="rId6"/>
      <w:footerReference w:type="default" r:id="rId7"/>
      <w:pgSz w:w="11906" w:h="16838" w:orient="portrait"/>
      <w:pgMar w:top="1440" w:right="1417" w:bottom="1440"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Calibri" w:eastAsia="Microsoft YaHe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4"/>
      </w:pBdr>
      <w:spacing w:line="240"/>
      <w:jc w:val="right"/>
    </w:pPr>
    <w:r>
      <w:rPr>
        <w:rFonts w:ascii="Calibri" w:eastAsia="Microsoft YaHei"/>
        <w:color w:val="6B7280"/>
        <w:sz w:val="16"/>
        <w:szCs w:val="16"/>
      </w:rPr>
      <w:t xml:space="preserve">MUHDIN INDONESIA · Naskah Demo 5 Menit · Rahasia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6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F2937"/>
        <w:sz w:val="24"/>
        <w:szCs w:val="24"/>
      </w:rPr>
    </w:rPrDefault>
    <w:pPrDefault>
      <w:pPr>
        <w:spacing w:line="4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420" w:line="400"/>
    </w:pPr>
    <w:rPr>
      <w:rFonts w:ascii="Calibri" w:eastAsia="Microsoft YaHei"/>
      <w:b/>
      <w:bCs/>
      <w:color w:val="14532D"/>
      <w:sz w:val="30"/>
      <w:szCs w:val="30"/>
    </w:rPr>
  </w:style>
  <w:style w:type="paragraph" w:styleId="Heading2">
    <w:name w:val="Heading 2"/>
    <w:basedOn w:val="Normal"/>
    <w:next w:val="Normal"/>
    <w:qFormat/>
    <w:pPr>
      <w:spacing w:after="100" w:before="340" w:line="400"/>
    </w:pPr>
    <w:rPr>
      <w:rFonts w:ascii="Calibri" w:eastAsia="Microsoft YaHei"/>
      <w:b/>
      <w:bCs/>
      <w:color w:val="14532D"/>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2026-10-27T00:08:01.522Z</dcterms:created>
  <dcterms:modified xsi:type="dcterms:W3CDTF">2026-10-27T00:08:01.523Z</dcterms:modified>
</cp:coreProperties>
</file>

<file path=docProps/custom.xml><?xml version="1.0" encoding="utf-8"?>
<Properties xmlns="http://schemas.openxmlformats.org/officeDocument/2006/custom-properties" xmlns:vt="http://schemas.openxmlformats.org/officeDocument/2006/docPropsVTypes"/>
</file>