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Project Design Phase</w:t>
      </w:r>
    </w:p>
    <w:p>
      <w:pPr>
        <w:jc w:val="center"/>
      </w:pPr>
      <w:r>
        <w:rPr>
          <w:rFonts w:ascii="Arial" w:hAnsi="Arial"/>
          <w:b/>
          <w:sz w:val="26"/>
        </w:rPr>
        <w:t>Problem – Solution Fit Template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jc w:val="left"/>
            </w:pPr>
            <w:r/>
            <w:r>
              <w:rPr>
                <w:rFonts w:ascii="Arial" w:hAnsi="Arial"/>
                <w:b/>
                <w:sz w:val="18"/>
              </w:rPr>
              <w:t>Date</w:t>
            </w:r>
          </w:p>
        </w:tc>
        <w:tc>
          <w:tcPr>
            <w:tcW w:type="dxa" w:w="5328"/>
            <w:vAlign w:val="center"/>
          </w:tcPr>
          <w:p>
            <w:pPr>
              <w:spacing w:after="0"/>
              <w:jc w:val="left"/>
            </w:pPr>
            <w:r/>
            <w:r>
              <w:rPr>
                <w:rFonts w:ascii="Arial" w:hAnsi="Arial"/>
                <w:b w:val="0"/>
                <w:sz w:val="18"/>
              </w:rPr>
              <w:t>30 September 2026</w:t>
            </w:r>
          </w:p>
        </w:tc>
      </w:tr>
      <w:tr>
        <w:tc>
          <w:tcPr>
            <w:tcW w:type="dxa" w:w="5328"/>
            <w:vAlign w:val="center"/>
            <w:shd w:fill="D9EAF7"/>
          </w:tcPr>
          <w:p>
            <w:pPr>
              <w:spacing w:after="0"/>
              <w:jc w:val="left"/>
            </w:pPr>
            <w:r/>
            <w:r>
              <w:rPr>
                <w:rFonts w:ascii="Arial" w:hAnsi="Arial"/>
                <w:b/>
                <w:sz w:val="18"/>
              </w:rPr>
              <w:t>Team ID</w:t>
            </w:r>
          </w:p>
        </w:tc>
        <w:tc>
          <w:tcPr>
            <w:tcW w:type="dxa" w:w="5328"/>
            <w:vAlign w:val="center"/>
          </w:tcPr>
          <w:p>
            <w:pPr>
              <w:spacing w:after="0"/>
              <w:jc w:val="left"/>
            </w:pPr>
            <w:r/>
            <w:r>
              <w:rPr>
                <w:rFonts w:ascii="Arial" w:hAnsi="Arial"/>
                <w:b w:val="0"/>
                <w:sz w:val="18"/>
              </w:rPr>
              <w:t>6ab699b2534c8646a9cdd6c7</w:t>
            </w:r>
          </w:p>
        </w:tc>
      </w:tr>
      <w:tr>
        <w:tc>
          <w:tcPr>
            <w:tcW w:type="dxa" w:w="5328"/>
            <w:vAlign w:val="center"/>
            <w:shd w:fill="D9EAF7"/>
          </w:tcPr>
          <w:p>
            <w:pPr>
              <w:spacing w:after="0"/>
              <w:jc w:val="left"/>
            </w:pPr>
            <w:r/>
            <w:r>
              <w:rPr>
                <w:rFonts w:ascii="Arial" w:hAnsi="Arial"/>
                <w:b/>
                <w:sz w:val="18"/>
              </w:rPr>
              <w:t>Project Name</w:t>
            </w:r>
          </w:p>
        </w:tc>
        <w:tc>
          <w:tcPr>
            <w:tcW w:type="dxa" w:w="5328"/>
            <w:vAlign w:val="center"/>
          </w:tcPr>
          <w:p>
            <w:pPr>
              <w:spacing w:after="0"/>
              <w:jc w:val="left"/>
            </w:pPr>
            <w:r/>
            <w:r>
              <w:rPr>
                <w:rFonts w:ascii="Arial" w:hAnsi="Arial"/>
                <w:b w:val="0"/>
                <w:sz w:val="18"/>
              </w:rPr>
              <w:t>Auto Ticket Classification using Workflow</w:t>
            </w:r>
          </w:p>
        </w:tc>
      </w:tr>
      <w:tr>
        <w:tc>
          <w:tcPr>
            <w:tcW w:type="dxa" w:w="5328"/>
            <w:vAlign w:val="center"/>
            <w:shd w:fill="D9EAF7"/>
          </w:tcPr>
          <w:p>
            <w:pPr>
              <w:spacing w:after="0"/>
              <w:jc w:val="left"/>
            </w:pPr>
            <w:r/>
            <w:r>
              <w:rPr>
                <w:rFonts w:ascii="Arial" w:hAnsi="Arial"/>
                <w:b/>
                <w:sz w:val="18"/>
              </w:rPr>
              <w:t>Maximum Marks</w:t>
            </w:r>
          </w:p>
        </w:tc>
        <w:tc>
          <w:tcPr>
            <w:tcW w:type="dxa" w:w="5328"/>
            <w:vAlign w:val="center"/>
          </w:tcPr>
          <w:p>
            <w:pPr>
              <w:spacing w:after="0"/>
              <w:jc w:val="left"/>
            </w:pPr>
            <w:r/>
            <w:r>
              <w:rPr>
                <w:rFonts w:ascii="Arial" w:hAnsi="Arial"/>
                <w:b w:val="0"/>
                <w:sz w:val="18"/>
              </w:rPr>
              <w:t>2 Marks</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792"/>
            <w:vAlign w:val="center"/>
            <w:shd w:fill="D9EAF7"/>
          </w:tcPr>
          <w:p>
            <w:pPr>
              <w:spacing w:after="0"/>
              <w:jc w:val="center"/>
            </w:pPr>
            <w:r/>
            <w:r>
              <w:rPr>
                <w:rFonts w:ascii="Arial" w:hAnsi="Arial"/>
                <w:b/>
                <w:sz w:val="17"/>
              </w:rPr>
              <w:t>S.No.</w:t>
            </w:r>
          </w:p>
        </w:tc>
        <w:tc>
          <w:tcPr>
            <w:tcW w:type="dxa" w:w="2376"/>
            <w:vAlign w:val="center"/>
            <w:shd w:fill="D9EAF7"/>
          </w:tcPr>
          <w:p>
            <w:pPr>
              <w:spacing w:after="0"/>
              <w:jc w:val="center"/>
            </w:pPr>
            <w:r/>
            <w:r>
              <w:rPr>
                <w:rFonts w:ascii="Arial" w:hAnsi="Arial"/>
                <w:b/>
                <w:sz w:val="17"/>
              </w:rPr>
              <w:t>Canvas Element</w:t>
            </w:r>
          </w:p>
        </w:tc>
        <w:tc>
          <w:tcPr>
            <w:tcW w:type="dxa" w:w="8208"/>
            <w:vAlign w:val="center"/>
            <w:shd w:fill="D9EAF7"/>
          </w:tcPr>
          <w:p>
            <w:pPr>
              <w:spacing w:after="0"/>
              <w:jc w:val="center"/>
            </w:pPr>
            <w:r/>
            <w:r>
              <w:rPr>
                <w:rFonts w:ascii="Arial" w:hAnsi="Arial"/>
                <w:b/>
                <w:sz w:val="17"/>
              </w:rPr>
              <w:t>Details &amp; Description</w:t>
            </w:r>
          </w:p>
        </w:tc>
      </w:tr>
      <w:tr>
        <w:tc>
          <w:tcPr>
            <w:tcW w:type="dxa" w:w="792"/>
            <w:vAlign w:val="center"/>
          </w:tcPr>
          <w:p>
            <w:pPr>
              <w:spacing w:after="0"/>
              <w:jc w:val="center"/>
            </w:pPr>
            <w:r/>
            <w:r>
              <w:rPr>
                <w:rFonts w:ascii="Arial" w:hAnsi="Arial"/>
                <w:b w:val="0"/>
                <w:sz w:val="16"/>
              </w:rPr>
              <w:t>1</w:t>
            </w:r>
          </w:p>
        </w:tc>
        <w:tc>
          <w:tcPr>
            <w:tcW w:type="dxa" w:w="2376"/>
            <w:vAlign w:val="center"/>
          </w:tcPr>
          <w:p>
            <w:pPr>
              <w:spacing w:after="0"/>
              <w:jc w:val="left"/>
            </w:pPr>
            <w:r/>
            <w:r>
              <w:rPr>
                <w:rFonts w:ascii="Arial" w:hAnsi="Arial"/>
                <w:b w:val="0"/>
                <w:sz w:val="16"/>
              </w:rPr>
              <w:t>Customer Segment(s)</w:t>
            </w:r>
          </w:p>
        </w:tc>
        <w:tc>
          <w:tcPr>
            <w:tcW w:type="dxa" w:w="8208"/>
            <w:vAlign w:val="center"/>
          </w:tcPr>
          <w:p>
            <w:pPr>
              <w:spacing w:after="0"/>
              <w:jc w:val="left"/>
            </w:pPr>
            <w:r/>
            <w:r>
              <w:rPr>
                <w:rFonts w:ascii="Arial" w:hAnsi="Arial"/>
                <w:b w:val="0"/>
                <w:sz w:val="16"/>
              </w:rPr>
              <w:t>IT support teams, service desk agents, IT administrators, and organizations managing high volumes of support tickets that require fast classification and routing.</w:t>
            </w:r>
          </w:p>
        </w:tc>
      </w:tr>
      <w:tr>
        <w:tc>
          <w:tcPr>
            <w:tcW w:type="dxa" w:w="792"/>
            <w:vAlign w:val="center"/>
          </w:tcPr>
          <w:p>
            <w:pPr>
              <w:spacing w:after="0"/>
              <w:jc w:val="center"/>
            </w:pPr>
            <w:r/>
            <w:r>
              <w:rPr>
                <w:rFonts w:ascii="Arial" w:hAnsi="Arial"/>
                <w:b w:val="0"/>
                <w:sz w:val="16"/>
              </w:rPr>
              <w:t>2</w:t>
            </w:r>
          </w:p>
        </w:tc>
        <w:tc>
          <w:tcPr>
            <w:tcW w:type="dxa" w:w="2376"/>
            <w:vAlign w:val="center"/>
          </w:tcPr>
          <w:p>
            <w:pPr>
              <w:spacing w:after="0"/>
              <w:jc w:val="left"/>
            </w:pPr>
            <w:r/>
            <w:r>
              <w:rPr>
                <w:rFonts w:ascii="Arial" w:hAnsi="Arial"/>
                <w:b w:val="0"/>
                <w:sz w:val="16"/>
              </w:rPr>
              <w:t>Jobs-To-Be-Done / Problems</w:t>
            </w:r>
          </w:p>
        </w:tc>
        <w:tc>
          <w:tcPr>
            <w:tcW w:type="dxa" w:w="8208"/>
            <w:vAlign w:val="center"/>
          </w:tcPr>
          <w:p>
            <w:pPr>
              <w:spacing w:after="0"/>
              <w:jc w:val="left"/>
            </w:pPr>
            <w:r/>
            <w:r>
              <w:rPr>
                <w:rFonts w:ascii="Arial" w:hAnsi="Arial"/>
                <w:b w:val="0"/>
                <w:sz w:val="16"/>
              </w:rPr>
              <w:t>• Receiving and organizing support tickets accurately.</w:t>
              <w:br/>
              <w:t>• Classifying tickets by issue category and priority without relying entirely on manual triage.</w:t>
              <w:br/>
              <w:t>• Routing tickets to the appropriate support team quickly and consistently.</w:t>
            </w:r>
          </w:p>
        </w:tc>
      </w:tr>
      <w:tr>
        <w:tc>
          <w:tcPr>
            <w:tcW w:type="dxa" w:w="792"/>
            <w:vAlign w:val="center"/>
          </w:tcPr>
          <w:p>
            <w:pPr>
              <w:spacing w:after="0"/>
              <w:jc w:val="center"/>
            </w:pPr>
            <w:r/>
            <w:r>
              <w:rPr>
                <w:rFonts w:ascii="Arial" w:hAnsi="Arial"/>
                <w:b w:val="0"/>
                <w:sz w:val="16"/>
              </w:rPr>
              <w:t>3</w:t>
            </w:r>
          </w:p>
        </w:tc>
        <w:tc>
          <w:tcPr>
            <w:tcW w:type="dxa" w:w="2376"/>
            <w:vAlign w:val="center"/>
          </w:tcPr>
          <w:p>
            <w:pPr>
              <w:spacing w:after="0"/>
              <w:jc w:val="left"/>
            </w:pPr>
            <w:r/>
            <w:r>
              <w:rPr>
                <w:rFonts w:ascii="Arial" w:hAnsi="Arial"/>
                <w:b w:val="0"/>
                <w:sz w:val="16"/>
              </w:rPr>
              <w:t>Triggers</w:t>
            </w:r>
          </w:p>
        </w:tc>
        <w:tc>
          <w:tcPr>
            <w:tcW w:type="dxa" w:w="8208"/>
            <w:vAlign w:val="center"/>
          </w:tcPr>
          <w:p>
            <w:pPr>
              <w:spacing w:after="0"/>
              <w:jc w:val="left"/>
            </w:pPr>
            <w:r/>
            <w:r>
              <w:rPr>
                <w:rFonts w:ascii="Arial" w:hAnsi="Arial"/>
                <w:b w:val="0"/>
                <w:sz w:val="16"/>
              </w:rPr>
              <w:t>Large numbers of incoming tickets, repeated manual triage, incorrectly categorized requests, delayed assignment, and tickets being sent to the wrong support team.</w:t>
            </w:r>
          </w:p>
        </w:tc>
      </w:tr>
      <w:tr>
        <w:tc>
          <w:tcPr>
            <w:tcW w:type="dxa" w:w="792"/>
            <w:vAlign w:val="center"/>
          </w:tcPr>
          <w:p>
            <w:pPr>
              <w:spacing w:after="0"/>
              <w:jc w:val="center"/>
            </w:pPr>
            <w:r/>
            <w:r>
              <w:rPr>
                <w:rFonts w:ascii="Arial" w:hAnsi="Arial"/>
                <w:b w:val="0"/>
                <w:sz w:val="16"/>
              </w:rPr>
              <w:t>4</w:t>
            </w:r>
          </w:p>
        </w:tc>
        <w:tc>
          <w:tcPr>
            <w:tcW w:type="dxa" w:w="2376"/>
            <w:vAlign w:val="center"/>
          </w:tcPr>
          <w:p>
            <w:pPr>
              <w:spacing w:after="0"/>
              <w:jc w:val="left"/>
            </w:pPr>
            <w:r/>
            <w:r>
              <w:rPr>
                <w:rFonts w:ascii="Arial" w:hAnsi="Arial"/>
                <w:b w:val="0"/>
                <w:sz w:val="16"/>
              </w:rPr>
              <w:t>Emotions: Before / After</w:t>
            </w:r>
          </w:p>
        </w:tc>
        <w:tc>
          <w:tcPr>
            <w:tcW w:type="dxa" w:w="8208"/>
            <w:vAlign w:val="center"/>
          </w:tcPr>
          <w:p>
            <w:pPr>
              <w:spacing w:after="0"/>
              <w:jc w:val="left"/>
            </w:pPr>
            <w:r/>
            <w:r>
              <w:rPr>
                <w:rFonts w:ascii="Arial" w:hAnsi="Arial"/>
                <w:b w:val="0"/>
                <w:sz w:val="16"/>
              </w:rPr>
              <w:t>• Before: Frustrated by repetitive ticket sorting, uncertain about correct categorization, and overwhelmed by manual triage workload.</w:t>
              <w:br/>
              <w:t>• After: More confident and efficient because tickets are automatically classified, prioritized, and routed through a defined workflow.</w:t>
            </w:r>
          </w:p>
        </w:tc>
      </w:tr>
      <w:tr>
        <w:tc>
          <w:tcPr>
            <w:tcW w:type="dxa" w:w="792"/>
            <w:vAlign w:val="center"/>
          </w:tcPr>
          <w:p>
            <w:pPr>
              <w:spacing w:after="0"/>
              <w:jc w:val="center"/>
            </w:pPr>
            <w:r/>
            <w:r>
              <w:rPr>
                <w:rFonts w:ascii="Arial" w:hAnsi="Arial"/>
                <w:b w:val="0"/>
                <w:sz w:val="16"/>
              </w:rPr>
              <w:t>5</w:t>
            </w:r>
          </w:p>
        </w:tc>
        <w:tc>
          <w:tcPr>
            <w:tcW w:type="dxa" w:w="2376"/>
            <w:vAlign w:val="center"/>
          </w:tcPr>
          <w:p>
            <w:pPr>
              <w:spacing w:after="0"/>
              <w:jc w:val="left"/>
            </w:pPr>
            <w:r/>
            <w:r>
              <w:rPr>
                <w:rFonts w:ascii="Arial" w:hAnsi="Arial"/>
                <w:b w:val="0"/>
                <w:sz w:val="16"/>
              </w:rPr>
              <w:t>Available Solutions</w:t>
            </w:r>
          </w:p>
        </w:tc>
        <w:tc>
          <w:tcPr>
            <w:tcW w:type="dxa" w:w="8208"/>
            <w:vAlign w:val="center"/>
          </w:tcPr>
          <w:p>
            <w:pPr>
              <w:spacing w:after="0"/>
              <w:jc w:val="left"/>
            </w:pPr>
            <w:r/>
            <w:r>
              <w:rPr>
                <w:rFonts w:ascii="Arial" w:hAnsi="Arial"/>
                <w:b w:val="0"/>
                <w:sz w:val="16"/>
              </w:rPr>
              <w:t>Manual ticket sorting, email-based assignment, static categories, spreadsheets, help-desk queues, and basic rule-based routing without an integrated automatic classification workflow.</w:t>
            </w:r>
          </w:p>
        </w:tc>
      </w:tr>
      <w:tr>
        <w:tc>
          <w:tcPr>
            <w:tcW w:type="dxa" w:w="792"/>
            <w:vAlign w:val="center"/>
          </w:tcPr>
          <w:p>
            <w:pPr>
              <w:spacing w:after="0"/>
              <w:jc w:val="center"/>
            </w:pPr>
            <w:r/>
            <w:r>
              <w:rPr>
                <w:rFonts w:ascii="Arial" w:hAnsi="Arial"/>
                <w:b w:val="0"/>
                <w:sz w:val="16"/>
              </w:rPr>
              <w:t>6</w:t>
            </w:r>
          </w:p>
        </w:tc>
        <w:tc>
          <w:tcPr>
            <w:tcW w:type="dxa" w:w="2376"/>
            <w:vAlign w:val="center"/>
          </w:tcPr>
          <w:p>
            <w:pPr>
              <w:spacing w:after="0"/>
              <w:jc w:val="left"/>
            </w:pPr>
            <w:r/>
            <w:r>
              <w:rPr>
                <w:rFonts w:ascii="Arial" w:hAnsi="Arial"/>
                <w:b w:val="0"/>
                <w:sz w:val="16"/>
              </w:rPr>
              <w:t>Customer Constraints</w:t>
            </w:r>
          </w:p>
        </w:tc>
        <w:tc>
          <w:tcPr>
            <w:tcW w:type="dxa" w:w="8208"/>
            <w:vAlign w:val="center"/>
          </w:tcPr>
          <w:p>
            <w:pPr>
              <w:spacing w:after="0"/>
              <w:jc w:val="left"/>
            </w:pPr>
            <w:r/>
            <w:r>
              <w:rPr>
                <w:rFonts w:ascii="Arial" w:hAnsi="Arial"/>
                <w:b w:val="0"/>
                <w:sz w:val="16"/>
              </w:rPr>
              <w:t>• High ticket volumes can make manual classification slow and inconsistent.</w:t>
              <w:br/>
              <w:t>• Different support teams may use different categories and routing rules.</w:t>
              <w:br/>
              <w:t>• Incorrect or incomplete ticket information can reduce classification accuracy and require manual review.</w:t>
            </w:r>
          </w:p>
        </w:tc>
      </w:tr>
      <w:tr>
        <w:tc>
          <w:tcPr>
            <w:tcW w:type="dxa" w:w="792"/>
            <w:vAlign w:val="center"/>
          </w:tcPr>
          <w:p>
            <w:pPr>
              <w:spacing w:after="0"/>
              <w:jc w:val="center"/>
            </w:pPr>
            <w:r/>
            <w:r>
              <w:rPr>
                <w:rFonts w:ascii="Arial" w:hAnsi="Arial"/>
                <w:b w:val="0"/>
                <w:sz w:val="16"/>
              </w:rPr>
              <w:t>7</w:t>
            </w:r>
          </w:p>
        </w:tc>
        <w:tc>
          <w:tcPr>
            <w:tcW w:type="dxa" w:w="2376"/>
            <w:vAlign w:val="center"/>
          </w:tcPr>
          <w:p>
            <w:pPr>
              <w:spacing w:after="0"/>
              <w:jc w:val="left"/>
            </w:pPr>
            <w:r/>
            <w:r>
              <w:rPr>
                <w:rFonts w:ascii="Arial" w:hAnsi="Arial"/>
                <w:b w:val="0"/>
                <w:sz w:val="16"/>
              </w:rPr>
              <w:t>Behaviour</w:t>
            </w:r>
          </w:p>
        </w:tc>
        <w:tc>
          <w:tcPr>
            <w:tcW w:type="dxa" w:w="8208"/>
            <w:vAlign w:val="center"/>
          </w:tcPr>
          <w:p>
            <w:pPr>
              <w:spacing w:after="0"/>
              <w:jc w:val="left"/>
            </w:pPr>
            <w:r/>
            <w:r>
              <w:rPr>
                <w:rFonts w:ascii="Arial" w:hAnsi="Arial"/>
                <w:b w:val="0"/>
                <w:sz w:val="16"/>
              </w:rPr>
              <w:t>Service desk personnel receive tickets from users through web forms, email, chat, or other support channels. They commonly read the ticket, identify the issue, determine priority, and manually assign it to the relevant team or queue.</w:t>
            </w:r>
          </w:p>
        </w:tc>
      </w:tr>
      <w:tr>
        <w:tc>
          <w:tcPr>
            <w:tcW w:type="dxa" w:w="792"/>
            <w:vAlign w:val="center"/>
          </w:tcPr>
          <w:p>
            <w:pPr>
              <w:spacing w:after="0"/>
              <w:jc w:val="center"/>
            </w:pPr>
            <w:r/>
            <w:r>
              <w:rPr>
                <w:rFonts w:ascii="Arial" w:hAnsi="Arial"/>
                <w:b w:val="0"/>
                <w:sz w:val="16"/>
              </w:rPr>
              <w:t>8</w:t>
            </w:r>
          </w:p>
        </w:tc>
        <w:tc>
          <w:tcPr>
            <w:tcW w:type="dxa" w:w="2376"/>
            <w:vAlign w:val="center"/>
          </w:tcPr>
          <w:p>
            <w:pPr>
              <w:spacing w:after="0"/>
              <w:jc w:val="left"/>
            </w:pPr>
            <w:r/>
            <w:r>
              <w:rPr>
                <w:rFonts w:ascii="Arial" w:hAnsi="Arial"/>
                <w:b w:val="0"/>
                <w:sz w:val="16"/>
              </w:rPr>
              <w:t>Channels of Behaviour</w:t>
            </w:r>
          </w:p>
        </w:tc>
        <w:tc>
          <w:tcPr>
            <w:tcW w:type="dxa" w:w="8208"/>
            <w:vAlign w:val="center"/>
          </w:tcPr>
          <w:p>
            <w:pPr>
              <w:spacing w:after="0"/>
              <w:jc w:val="left"/>
            </w:pPr>
            <w:r/>
            <w:r>
              <w:rPr>
                <w:rFonts w:ascii="Arial" w:hAnsi="Arial"/>
                <w:b w:val="0"/>
                <w:sz w:val="16"/>
              </w:rPr>
              <w:t>• 8.1 Online: Help-desk/ticketing web platform, service desk dashboard, ticket forms, and support queues.</w:t>
              <w:br/>
              <w:t>• 8.2 Offline: Phone calls, chat, or email requests that are manually converted into support tickets.</w:t>
            </w:r>
          </w:p>
        </w:tc>
      </w:tr>
      <w:tr>
        <w:tc>
          <w:tcPr>
            <w:tcW w:type="dxa" w:w="792"/>
            <w:vAlign w:val="center"/>
          </w:tcPr>
          <w:p>
            <w:pPr>
              <w:spacing w:after="0"/>
              <w:jc w:val="center"/>
            </w:pPr>
            <w:r/>
            <w:r>
              <w:rPr>
                <w:rFonts w:ascii="Arial" w:hAnsi="Arial"/>
                <w:b w:val="0"/>
                <w:sz w:val="16"/>
              </w:rPr>
              <w:t>9</w:t>
            </w:r>
          </w:p>
        </w:tc>
        <w:tc>
          <w:tcPr>
            <w:tcW w:type="dxa" w:w="2376"/>
            <w:vAlign w:val="center"/>
          </w:tcPr>
          <w:p>
            <w:pPr>
              <w:spacing w:after="0"/>
              <w:jc w:val="left"/>
            </w:pPr>
            <w:r/>
            <w:r>
              <w:rPr>
                <w:rFonts w:ascii="Arial" w:hAnsi="Arial"/>
                <w:b w:val="0"/>
                <w:sz w:val="16"/>
              </w:rPr>
              <w:t>Problem Root Cause</w:t>
            </w:r>
          </w:p>
        </w:tc>
        <w:tc>
          <w:tcPr>
            <w:tcW w:type="dxa" w:w="8208"/>
            <w:vAlign w:val="center"/>
          </w:tcPr>
          <w:p>
            <w:pPr>
              <w:spacing w:after="0"/>
              <w:jc w:val="left"/>
            </w:pPr>
            <w:r/>
            <w:r>
              <w:rPr>
                <w:rFonts w:ascii="Arial" w:hAnsi="Arial"/>
                <w:b w:val="0"/>
                <w:sz w:val="16"/>
              </w:rPr>
              <w:t>Relying heavily on manual ticket reading, categorization, priority selection, and assignment creates repetitive work and can lead to inconsistent classification, incorrect routing, and delays in ticket resolution.</w:t>
            </w:r>
          </w:p>
        </w:tc>
      </w:tr>
      <w:tr>
        <w:tc>
          <w:tcPr>
            <w:tcW w:type="dxa" w:w="792"/>
            <w:vAlign w:val="center"/>
          </w:tcPr>
          <w:p>
            <w:pPr>
              <w:spacing w:after="0"/>
              <w:jc w:val="center"/>
            </w:pPr>
            <w:r/>
            <w:r>
              <w:rPr>
                <w:rFonts w:ascii="Arial" w:hAnsi="Arial"/>
                <w:b w:val="0"/>
                <w:sz w:val="16"/>
              </w:rPr>
              <w:t>10</w:t>
            </w:r>
          </w:p>
        </w:tc>
        <w:tc>
          <w:tcPr>
            <w:tcW w:type="dxa" w:w="2376"/>
            <w:vAlign w:val="center"/>
          </w:tcPr>
          <w:p>
            <w:pPr>
              <w:spacing w:after="0"/>
              <w:jc w:val="left"/>
            </w:pPr>
            <w:r/>
            <w:r>
              <w:rPr>
                <w:rFonts w:ascii="Arial" w:hAnsi="Arial"/>
                <w:b w:val="0"/>
                <w:sz w:val="16"/>
              </w:rPr>
              <w:t>Your Solution</w:t>
            </w:r>
          </w:p>
        </w:tc>
        <w:tc>
          <w:tcPr>
            <w:tcW w:type="dxa" w:w="8208"/>
            <w:vAlign w:val="center"/>
          </w:tcPr>
          <w:p>
            <w:pPr>
              <w:spacing w:after="0"/>
              <w:jc w:val="left"/>
            </w:pPr>
            <w:r/>
            <w:r>
              <w:rPr>
                <w:rFonts w:ascii="Arial" w:hAnsi="Arial"/>
                <w:b w:val="0"/>
                <w:sz w:val="16"/>
              </w:rPr>
              <w:t>Implement an Auto Ticket Classification using Workflow system that receives ticket details, preprocesses the content, identifies the appropriate category and priority, and automatically routes the ticket to the configured support team. A workflow engine can apply classification and routing rules, while uncertain tickets can be sent to a manual-review queue. The system also stores classification, assignment, and status information for tracking and reporting.</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Auto Ticket Classification using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