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0"/>
        </w:rPr>
        <w:t>SERVICENOW IT WORKFLOW AUTOMATION</w:t>
      </w:r>
    </w:p>
    <w:p>
      <w:pPr>
        <w:spacing w:before="0" w:after="80"/>
        <w:pBdr>
          <w:bottom w:val="single" w:sz="12" w:space="4" w:color="2B6CB0"/>
        </w:pBdr>
      </w:pPr>
      <w:r>
        <w:rPr>
          <w:rFonts w:ascii="Calibri" w:hAnsi="Calibri"/>
          <w:b/>
          <w:color w:val="1A365D"/>
          <w:sz w:val="40"/>
        </w:rPr>
        <w:t>Phase-1: Brainstorming</w:t>
      </w:r>
    </w:p>
    <w:p>
      <w:pPr>
        <w:spacing w:before="80" w:after="280"/>
      </w:pPr>
      <w:r>
        <w:rPr>
          <w:color w:val="718096"/>
          <w:sz w:val="19"/>
        </w:rPr>
        <w:t>Project: Auto Ticket Classification using Flow Designer | Target: u_incident_workflow | Scope: Global</w:t>
      </w:r>
    </w:p>
    <w:p>
      <w:pPr>
        <w:pStyle w:val="Heading2"/>
        <w:keepNext/>
        <w:spacing w:before="240" w:after="80"/>
      </w:pPr>
      <w:r>
        <w:rPr>
          <w:rFonts w:ascii="Calibri" w:hAnsi="Calibri"/>
          <w:b/>
          <w:color w:val="2B6CB0"/>
          <w:sz w:val="26"/>
        </w:rPr>
        <w:t>1.1 Operational Context &amp; Baseline Environment</w:t>
      </w:r>
    </w:p>
    <w:p>
      <w:r>
        <w:t>In school and educational IT support desks, staff members, teachers, and students frequently report recurring technology incidents. These common problems predominantly fall into four key buckets: campus Wi-Fi dropouts, multimedia classroom projector issues, student/faculty portal credential lockouts, and workstation system slowdowns or software freezing.</w:t>
      </w:r>
    </w:p>
    <w:p>
      <w:r>
        <w:t>In the legacy operational flow, every inbound ticket arrives completely unclassified. Helpdesk technicians are forced to manually open each record, parse through the caller's text description, determine the technical discipline, select Category and Subcategory fields, and send out an acknowledgment email. This manual triage workflow causes significant operational delays and human categorization inconsistencies.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60" w:type="dxa"/>
            </w:tcMar>
            <w:tcBorders>
              <w:top w:val="none" w:sz="4" w:space="0" w:color="auto"/>
              <w:left w:val="single" w:sz="24" w:space="0" w:color="2B6CB0"/>
              <w:bottom w:val="none" w:sz="4" w:space="0" w:color="auto"/>
              <w:right w:val="none" w:sz="4" w:space="0" w:color="auto"/>
            </w:tcBorders>
          </w:tcPr>
          <w:p>
            <w:pPr>
              <w:spacing w:before="0" w:after="0" w:line="276" w:lineRule="auto"/>
            </w:pPr>
            <w:r>
              <w:rPr>
                <w:b/>
                <w:color w:val="1A365D"/>
              </w:rPr>
              <w:t xml:space="preserve">Identified Problem Statement: </w:t>
            </w:r>
            <w:r>
              <w:rPr>
                <w:color w:val="2D3748"/>
                <w:sz w:val="19"/>
              </w:rPr>
              <w:t>Manual ticket triage creates average initial response bottlenecks ranging from 30 minutes to over 4 hours during peak classroom hours, leaving critical issues unattended.</w:t>
            </w:r>
          </w:p>
        </w:tc>
      </w:tr>
    </w:tbl>
    <w:p>
      <w:pPr>
        <w:spacing w:before="0" w:after="80"/>
      </w:pPr>
    </w:p>
    <w:p>
      <w:pPr>
        <w:pStyle w:val="Heading2"/>
        <w:keepNext/>
        <w:spacing w:before="240" w:after="80"/>
      </w:pPr>
      <w:r>
        <w:rPr>
          <w:rFonts w:ascii="Calibri" w:hAnsi="Calibri"/>
          <w:b/>
          <w:color w:val="2B6CB0"/>
          <w:sz w:val="26"/>
        </w:rPr>
        <w:t>1.2 Architectural Brainstorming &amp; Evaluation Matrix</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tcMar>
              <w:top w:w="80" w:type="dxa"/>
              <w:bottom w:w="80" w:type="dxa"/>
              <w:left w:w="100" w:type="dxa"/>
              <w:right w:w="100" w:type="dxa"/>
            </w:tcMar>
            <w:shd w:fill="1A365D"/>
            <w:tcBorders>
              <w:top w:val="none"/>
              <w:left w:val="none"/>
              <w:bottom w:val="single" w:sz="12" w:space="0" w:color="2B6CB0"/>
              <w:right w:val="none"/>
            </w:tcBorders>
          </w:tcPr>
          <w:p>
            <w:pPr>
              <w:spacing w:before="0" w:after="0"/>
              <w:jc w:val="left"/>
            </w:pPr>
            <w:r>
              <w:rPr>
                <w:b/>
                <w:color w:val="FFFFFF"/>
                <w:sz w:val="18"/>
              </w:rPr>
              <w:t>Architectural Approach</w:t>
            </w:r>
          </w:p>
        </w:tc>
        <w:tc>
          <w:tcPr>
            <w:tcW w:type="dxa" w:w="2592"/>
            <w:tcMar>
              <w:top w:w="80" w:type="dxa"/>
              <w:bottom w:w="80" w:type="dxa"/>
              <w:left w:w="100" w:type="dxa"/>
              <w:right w:w="100" w:type="dxa"/>
            </w:tcMar>
            <w:shd w:fill="1A365D"/>
            <w:tcBorders>
              <w:top w:val="none"/>
              <w:left w:val="none"/>
              <w:bottom w:val="single" w:sz="12" w:space="0" w:color="2B6CB0"/>
              <w:right w:val="none"/>
            </w:tcBorders>
          </w:tcPr>
          <w:p>
            <w:pPr>
              <w:spacing w:before="0" w:after="0"/>
              <w:jc w:val="left"/>
            </w:pPr>
            <w:r>
              <w:rPr>
                <w:b/>
                <w:color w:val="FFFFFF"/>
                <w:sz w:val="18"/>
              </w:rPr>
              <w:t>Key Advantages</w:t>
            </w:r>
          </w:p>
        </w:tc>
        <w:tc>
          <w:tcPr>
            <w:tcW w:type="dxa" w:w="2592"/>
            <w:tcMar>
              <w:top w:w="80" w:type="dxa"/>
              <w:bottom w:w="80" w:type="dxa"/>
              <w:left w:w="100" w:type="dxa"/>
              <w:right w:w="100" w:type="dxa"/>
            </w:tcMar>
            <w:shd w:fill="1A365D"/>
            <w:tcBorders>
              <w:top w:val="none"/>
              <w:left w:val="none"/>
              <w:bottom w:val="single" w:sz="12" w:space="0" w:color="2B6CB0"/>
              <w:right w:val="none"/>
            </w:tcBorders>
          </w:tcPr>
          <w:p>
            <w:pPr>
              <w:spacing w:before="0" w:after="0"/>
              <w:jc w:val="left"/>
            </w:pPr>
            <w:r>
              <w:rPr>
                <w:b/>
                <w:color w:val="FFFFFF"/>
                <w:sz w:val="18"/>
              </w:rPr>
              <w:t>Critical Disadvantages</w:t>
            </w:r>
          </w:p>
        </w:tc>
        <w:tc>
          <w:tcPr>
            <w:tcW w:type="dxa" w:w="2016"/>
            <w:tcMar>
              <w:top w:w="80" w:type="dxa"/>
              <w:bottom w:w="80" w:type="dxa"/>
              <w:left w:w="100" w:type="dxa"/>
              <w:right w:w="100" w:type="dxa"/>
            </w:tcMar>
            <w:shd w:fill="1A365D"/>
            <w:tcBorders>
              <w:top w:val="none"/>
              <w:left w:val="none"/>
              <w:bottom w:val="single" w:sz="12" w:space="0" w:color="2B6CB0"/>
              <w:right w:val="none"/>
            </w:tcBorders>
          </w:tcPr>
          <w:p>
            <w:pPr>
              <w:spacing w:before="0" w:after="0"/>
              <w:jc w:val="left"/>
            </w:pPr>
            <w:r>
              <w:rPr>
                <w:b/>
                <w:color w:val="FFFFFF"/>
                <w:sz w:val="18"/>
              </w:rPr>
              <w:t>Final Decision</w:t>
            </w:r>
          </w:p>
        </w:tc>
      </w:tr>
      <w:tr>
        <w:trPr>
          <w:cantSplit/>
        </w:trPr>
        <w:tc>
          <w:tcPr>
            <w:tcW w:type="dxa" w:w="2160"/>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Client Scripts &amp; Script Includes</w:t>
            </w:r>
          </w:p>
        </w:tc>
        <w:tc>
          <w:tcPr>
            <w:tcW w:type="dxa" w:w="2592"/>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Immediate execution on client form before database commit</w:t>
            </w:r>
          </w:p>
        </w:tc>
        <w:tc>
          <w:tcPr>
            <w:tcW w:type="dxa" w:w="2592"/>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High script maintenance; brittle on mobile; no background processing</w:t>
            </w:r>
          </w:p>
        </w:tc>
        <w:tc>
          <w:tcPr>
            <w:tcW w:type="dxa" w:w="2016"/>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Rejected</w:t>
            </w:r>
          </w:p>
        </w:tc>
      </w:tr>
      <w:tr>
        <w:trPr>
          <w:cantSplit/>
        </w:trPr>
        <w:tc>
          <w:tcPr>
            <w:tcW w:type="dxa" w:w="2160"/>
            <w:tcMar>
              <w:top w:w="80" w:type="dxa"/>
              <w:bottom w:w="80" w:type="dxa"/>
              <w:left w:w="100" w:type="dxa"/>
              <w:right w:w="100" w:type="dxa"/>
            </w:tcMar>
            <w:shd w:fill="F7FAFC"/>
            <w:tcBorders>
              <w:top w:val="none"/>
              <w:left w:val="none"/>
              <w:bottom w:val="single" w:sz="4" w:space="0" w:color="E2E8F0"/>
              <w:right w:val="none"/>
            </w:tcBorders>
          </w:tcPr>
          <w:p>
            <w:pPr>
              <w:spacing w:before="0" w:after="0"/>
              <w:jc w:val="left"/>
            </w:pPr>
            <w:r>
              <w:rPr>
                <w:color w:val="2D3748"/>
                <w:sz w:val="18"/>
              </w:rPr>
              <w:t>Predictive Intelligence / AI</w:t>
            </w:r>
          </w:p>
        </w:tc>
        <w:tc>
          <w:tcPr>
            <w:tcW w:type="dxa" w:w="2592"/>
            <w:tcMar>
              <w:top w:w="80" w:type="dxa"/>
              <w:bottom w:w="80" w:type="dxa"/>
              <w:left w:w="100" w:type="dxa"/>
              <w:right w:w="100" w:type="dxa"/>
            </w:tcMar>
            <w:shd w:fill="F7FAFC"/>
            <w:tcBorders>
              <w:top w:val="none"/>
              <w:left w:val="none"/>
              <w:bottom w:val="single" w:sz="4" w:space="0" w:color="E2E8F0"/>
              <w:right w:val="none"/>
            </w:tcBorders>
          </w:tcPr>
          <w:p>
            <w:pPr>
              <w:spacing w:before="0" w:after="0"/>
              <w:jc w:val="left"/>
            </w:pPr>
            <w:r>
              <w:rPr>
                <w:color w:val="2D3748"/>
                <w:sz w:val="18"/>
              </w:rPr>
              <w:t>Advanced NLP pattern classification over time</w:t>
            </w:r>
          </w:p>
        </w:tc>
        <w:tc>
          <w:tcPr>
            <w:tcW w:type="dxa" w:w="2592"/>
            <w:tcMar>
              <w:top w:w="80" w:type="dxa"/>
              <w:bottom w:w="80" w:type="dxa"/>
              <w:left w:w="100" w:type="dxa"/>
              <w:right w:w="100" w:type="dxa"/>
            </w:tcMar>
            <w:shd w:fill="F7FAFC"/>
            <w:tcBorders>
              <w:top w:val="none"/>
              <w:left w:val="none"/>
              <w:bottom w:val="single" w:sz="4" w:space="0" w:color="E2E8F0"/>
              <w:right w:val="none"/>
            </w:tcBorders>
          </w:tcPr>
          <w:p>
            <w:pPr>
              <w:spacing w:before="0" w:after="0"/>
              <w:jc w:val="left"/>
            </w:pPr>
            <w:r>
              <w:rPr>
                <w:color w:val="2D3748"/>
                <w:sz w:val="18"/>
              </w:rPr>
              <w:t>Requires 30k+ historical records; high licensing cost; black-box logic</w:t>
            </w:r>
          </w:p>
        </w:tc>
        <w:tc>
          <w:tcPr>
            <w:tcW w:type="dxa" w:w="2016"/>
            <w:tcMar>
              <w:top w:w="80" w:type="dxa"/>
              <w:bottom w:w="80" w:type="dxa"/>
              <w:left w:w="100" w:type="dxa"/>
              <w:right w:w="100" w:type="dxa"/>
            </w:tcMar>
            <w:shd w:fill="F7FAFC"/>
            <w:tcBorders>
              <w:top w:val="none"/>
              <w:left w:val="none"/>
              <w:bottom w:val="single" w:sz="4" w:space="0" w:color="E2E8F0"/>
              <w:right w:val="none"/>
            </w:tcBorders>
          </w:tcPr>
          <w:p>
            <w:pPr>
              <w:spacing w:before="0" w:after="0"/>
              <w:jc w:val="left"/>
            </w:pPr>
            <w:r>
              <w:rPr>
                <w:color w:val="2D3748"/>
                <w:sz w:val="18"/>
              </w:rPr>
              <w:t>Deferred to Roadmap</w:t>
            </w:r>
          </w:p>
        </w:tc>
      </w:tr>
      <w:tr>
        <w:trPr>
          <w:cantSplit/>
        </w:trPr>
        <w:tc>
          <w:tcPr>
            <w:tcW w:type="dxa" w:w="2160"/>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Flow Designer Keyword Engine</w:t>
            </w:r>
          </w:p>
        </w:tc>
        <w:tc>
          <w:tcPr>
            <w:tcW w:type="dxa" w:w="2592"/>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100% no-code; asynchronous background execution; instant maintainability</w:t>
            </w:r>
          </w:p>
        </w:tc>
        <w:tc>
          <w:tcPr>
            <w:tcW w:type="dxa" w:w="2592"/>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Requires keyword pattern definitions</w:t>
            </w:r>
          </w:p>
        </w:tc>
        <w:tc>
          <w:tcPr>
            <w:tcW w:type="dxa" w:w="2016"/>
            <w:tcMar>
              <w:top w:w="80" w:type="dxa"/>
              <w:bottom w:w="80" w:type="dxa"/>
              <w:left w:w="100" w:type="dxa"/>
              <w:right w:w="100" w:type="dxa"/>
            </w:tcMar>
            <w:shd w:fill="FFFFFF"/>
            <w:tcBorders>
              <w:top w:val="none"/>
              <w:left w:val="none"/>
              <w:bottom w:val="single" w:sz="4" w:space="0" w:color="E2E8F0"/>
              <w:right w:val="none"/>
            </w:tcBorders>
          </w:tcPr>
          <w:p>
            <w:pPr>
              <w:spacing w:before="0" w:after="0"/>
              <w:jc w:val="left"/>
            </w:pPr>
            <w:r>
              <w:rPr>
                <w:color w:val="2D3748"/>
                <w:sz w:val="18"/>
              </w:rPr>
              <w:t>Accepted (Selected)</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ServiceNow Project Documentation | Phase-1: Brainstorming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