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6CB0"/>
          <w:sz w:val="20"/>
        </w:rPr>
        <w:t>SERVICENOW IT WORKFLOW AUTOMATION</w:t>
      </w:r>
    </w:p>
    <w:p>
      <w:pPr>
        <w:spacing w:before="0" w:after="8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40"/>
        </w:rPr>
        <w:t>Phase-2: Requirement Analysis</w:t>
      </w:r>
    </w:p>
    <w:p>
      <w:pPr>
        <w:spacing w:before="80" w:after="280"/>
      </w:pPr>
      <w:r>
        <w:rPr>
          <w:color w:val="718096"/>
          <w:sz w:val="19"/>
        </w:rPr>
        <w:t>Project: Auto Ticket Classification using Flow Designer | Target: u_incident_workflow | Scope: Global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2.1 Business &amp; Operational Objectives</w:t>
      </w:r>
    </w:p>
    <w:p>
      <w:r>
        <w:t>The objective of this phase is to establish the explicit business and technical requirements for eliminating manual incident categorization at the service desk.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2.2 Functional Requirements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Requirement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Technical Specification &amp; Success Criteria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FR-01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Automated Issue Parsing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System must inspect 'Short Description' upon record insertion and auto-assign Category and Subcategory.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FR-02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Taxonomy Dependency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Subcategory choices must dynamically filter based on selected Category to preserve relational integrity.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FR-03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Auto-Numbering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Every incident must automatically receive a padded, sequentially incremented identifier (e.g., INC0001001).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FR-04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Caller Feedback Dispatch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An outbound SMTP email must be generated and queued to the caller's email upon creation confirmation.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FR-05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Audit &amp; Lifecycle Tracking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Ticket status must initialize to 'New' with support for In Progress, On Hold, Resolved, and Closed states.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2.3 Non-Functional &amp; Security Requirements</w:t>
      </w:r>
    </w:p>
    <w:p>
      <w:r>
        <w:rPr>
          <w:b/>
        </w:rPr>
        <w:t xml:space="preserve">1. Maintainability: </w:t>
      </w:r>
      <w:r>
        <w:t>The workflow must remain 100% no-code within Flow Designer so school IT administrators can add keywords without technical coding.</w:t>
        <w:br/>
      </w:r>
      <w:r>
        <w:rPr>
          <w:b/>
        </w:rPr>
        <w:t xml:space="preserve">2. Access Governance: </w:t>
      </w:r>
      <w:r>
        <w:t>Table-level CRUD access must be restricted to designated service desk roles (`u_incident_workflow_user`) and system administrators via ACLs.</w:t>
        <w:br/>
      </w:r>
      <w:r>
        <w:rPr>
          <w:b/>
        </w:rPr>
        <w:t xml:space="preserve">3. Portability: </w:t>
      </w:r>
      <w:r>
        <w:t>All configurations must be contained within a single Global update set for seamless export and deployment across sub-production and production instances.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ServiceNow Project Documentation | Phase-2: Requirement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