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B6CB0"/>
          <w:sz w:val="20"/>
        </w:rPr>
        <w:t>SERVICENOW IT WORKFLOW AUTOMATION</w:t>
      </w:r>
    </w:p>
    <w:p>
      <w:pPr>
        <w:spacing w:before="0" w:after="80"/>
        <w:pBdr>
          <w:bottom w:val="single" w:sz="12" w:space="4" w:color="2B6CB0"/>
        </w:pBdr>
      </w:pPr>
      <w:r>
        <w:rPr>
          <w:rFonts w:ascii="Calibri" w:hAnsi="Calibri"/>
          <w:b/>
          <w:color w:val="1A365D"/>
          <w:sz w:val="40"/>
        </w:rPr>
        <w:t>Phase-4: Project Planning</w:t>
      </w:r>
    </w:p>
    <w:p>
      <w:pPr>
        <w:spacing w:before="80" w:after="280"/>
      </w:pPr>
      <w:r>
        <w:rPr>
          <w:color w:val="718096"/>
          <w:sz w:val="19"/>
        </w:rPr>
        <w:t>Project: Auto Ticket Classification using Flow Designer | Target: u_incident_workflow | Scope: Global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4.1 Work Breakdown Structure (WBS)</w:t>
      </w:r>
    </w:p>
    <w:p>
      <w:r>
        <w:t>The technical delivery was broken down across five structured implementation phases: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Milestone Focus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Core Technical Tasks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A365D"/>
            <w:tcBorders>
              <w:top w:val="none"/>
              <w:left w:val="none"/>
              <w:bottom w:val="single" w:sz="12" w:space="0" w:color="2B6CB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Deliverable Artifact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WBS-1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Environment Foundation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Initialize local update set, set active context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Project Update Set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WBS-2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Schema &amp; UI Modeling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Create u_incident_workflow, auto-number, form layout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sys_db_object, Form Layout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WBS-3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Data Dictionary Rules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Configure dependent choice sets and values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sys_choice, sys_dictionary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WBS-4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Flow Designer Engine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Build multi-branch logic, actions, data pills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sys_hub_flow, Snapshot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WBS-5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Quality Assurance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Execute unit test matrix, review email logs, export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color w:val="2D3748"/>
                <w:sz w:val="18"/>
              </w:rPr>
              <w:t>Update Set XML File</w:t>
            </w:r>
          </w:p>
        </w:tc>
      </w:tr>
    </w:tbl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4.2 Risk Management &amp; Mitigation Strategies</w:t>
      </w:r>
    </w:p>
    <w:p>
      <w:r>
        <w:rPr>
          <w:b/>
        </w:rPr>
        <w:t xml:space="preserve">• Case Sensitivity Risk: </w:t>
      </w:r>
      <w:r>
        <w:t>Flow Designer's native 'contains' operator on string inputs is case-insensitive, ensuring that user entries such as 'wifi', 'WiFi', and 'WI-FI' trigger identical branch logic successfully.</w:t>
        <w:br/>
      </w:r>
      <w:r>
        <w:rPr>
          <w:b/>
        </w:rPr>
        <w:t xml:space="preserve">• Infinite Loop Mitigation: </w:t>
      </w:r>
      <w:r>
        <w:t>To prevent recursive execution when the Flow updates the incident record, the Flow trigger strictly evaluates: 'Category is Empty'. Once populated by an action, subsequent updates cannot re-trigger the flow.</w:t>
        <w:br/>
      </w:r>
      <w:r>
        <w:rPr>
          <w:b/>
        </w:rPr>
        <w:t xml:space="preserve">• Missing Email Exception: </w:t>
      </w:r>
      <w:r>
        <w:t>If a ticket is logged with an empty Caller reference, the 'Send Email' action safely skips dispatch without failing the classification pipeline.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>ServiceNow Project Documentation | Phase-4: Project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