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4E79"/>
          <w:sz w:val="44"/>
          <w:szCs w:val="44"/>
        </w:rPr>
        <w:t xml:space="preserve">Disease Prediction System</w:t>
      </w:r>
    </w:p>
    <w:p>
      <w:pPr>
        <w:spacing w:after="600"/>
        <w:jc w:val="center"/>
      </w:pPr>
      <w:r>
        <w:rPr>
          <w:i/>
          <w:iCs/>
          <w:color w:val="555555"/>
          <w:sz w:val="28"/>
          <w:szCs w:val="28"/>
        </w:rPr>
        <w:t xml:space="preserve">Week 3: Exploratory Data Analysis and Visualization Strategy</w:t>
      </w:r>
    </w:p>
    <w:p>
      <w:pPr>
        <w:spacing w:after="100"/>
        <w:jc w:val="center"/>
      </w:pPr>
      <w:r>
        <w:rPr>
          <w:sz w:val="22"/>
          <w:szCs w:val="22"/>
        </w:rPr>
        <w:t xml:space="preserve">Virtual Data Science Apprentice – Python Specialist Intern</w:t>
      </w:r>
    </w:p>
    <w:p>
      <w:pPr>
        <w:spacing w:after="100"/>
        <w:jc w:val="center"/>
      </w:pPr>
      <w:r>
        <w:rPr>
          <w:sz w:val="22"/>
          <w:szCs w:val="22"/>
        </w:rPr>
        <w:t xml:space="preserve">NSDC YuvaIntern Program</w:t>
      </w:r>
    </w:p>
    <w:p>
      <w:pPr>
        <w:spacing w:after="100"/>
        <w:jc w:val="center"/>
      </w:pPr>
      <w:r>
        <w:rPr>
          <w:sz w:val="22"/>
          <w:szCs w:val="22"/>
        </w:rPr>
        <w:t xml:space="preserve">Submission Date: Week 3</w:t>
      </w:r>
    </w:p>
    <w:p>
      <w:pPr>
        <w:pageBreakBefore/>
      </w:pPr>
    </w:p>
    <w:p>
      <w:pPr>
        <w:pStyle w:val="Heading1"/>
        <w:spacing w:after="150" w:before="300"/>
      </w:pPr>
      <w:r>
        <w:rPr>
          <w:b/>
          <w:bCs/>
          <w:color w:val="1F4E79"/>
        </w:rPr>
        <w:t xml:space="preserve">1. Introduction</w:t>
      </w:r>
    </w:p>
    <w:p>
      <w:pPr>
        <w:spacing w:after="150"/>
      </w:pPr>
      <w:r>
        <w:t xml:space="preserve">Building on the cleaned and transformed dataset from Week 2, this document outlines the Exploratory Data Analysis (EDA) and visualisation strategy for the Disease Prediction System project. EDA is the process of examining a dataset’s structure, distributions, relationships, and anomalies before formal modelling begins. For a clinical dataset such as the Pima Indians Diabetes Dataset, a rigorous EDA phase is essential to understand which patient attributes are most strongly associated with diabetes risk, to detect any remaining data-quality concerns, and to guide feature selection for the modelling stage in Week 4.</w:t>
      </w:r>
    </w:p>
    <w:p>
      <w:pPr>
        <w:pStyle w:val="Heading1"/>
        <w:spacing w:after="150" w:before="300"/>
      </w:pPr>
      <w:r>
        <w:rPr>
          <w:b/>
          <w:bCs/>
          <w:color w:val="1F4E79"/>
        </w:rPr>
        <w:t xml:space="preserve">2. Objectives of the EDA Phase</w:t>
      </w:r>
    </w:p>
    <w:p>
      <w:pPr>
        <w:pStyle w:val="ListParagraph"/>
        <w:numPr>
          <w:ilvl w:val="0"/>
          <w:numId w:val="2"/>
        </w:numPr>
        <w:spacing w:after="80"/>
      </w:pPr>
      <w:r>
        <w:t xml:space="preserve">Understand the distribution of each individual feature (univariate analysis).</w:t>
      </w:r>
    </w:p>
    <w:p>
      <w:pPr>
        <w:pStyle w:val="ListParagraph"/>
        <w:numPr>
          <w:ilvl w:val="0"/>
          <w:numId w:val="2"/>
        </w:numPr>
        <w:spacing w:after="80"/>
      </w:pPr>
      <w:r>
        <w:t xml:space="preserve">Examine relationships between pairs of features and between features and the target variable (bivariate/multivariate analysis).</w:t>
      </w:r>
    </w:p>
    <w:p>
      <w:pPr>
        <w:pStyle w:val="ListParagraph"/>
        <w:numPr>
          <w:ilvl w:val="0"/>
          <w:numId w:val="2"/>
        </w:numPr>
        <w:spacing w:after="80"/>
      </w:pPr>
      <w:r>
        <w:t xml:space="preserve">Identify correlations and potential multicollinearity among predictors.</w:t>
      </w:r>
    </w:p>
    <w:p>
      <w:pPr>
        <w:pStyle w:val="ListParagraph"/>
        <w:numPr>
          <w:ilvl w:val="0"/>
          <w:numId w:val="2"/>
        </w:numPr>
        <w:spacing w:after="80"/>
      </w:pPr>
      <w:r>
        <w:t xml:space="preserve">Detect any residual anomalies or patterns that were not addressed during cleaning.</w:t>
      </w:r>
    </w:p>
    <w:p>
      <w:pPr>
        <w:pStyle w:val="ListParagraph"/>
        <w:numPr>
          <w:ilvl w:val="0"/>
          <w:numId w:val="2"/>
        </w:numPr>
        <w:spacing w:after="80"/>
      </w:pPr>
      <w:r>
        <w:t xml:space="preserve">Generate visual evidence to support feature-selection decisions in the modelling phase.</w:t>
      </w:r>
    </w:p>
    <w:p>
      <w:pPr>
        <w:pStyle w:val="ListParagraph"/>
        <w:numPr>
          <w:ilvl w:val="0"/>
          <w:numId w:val="2"/>
        </w:numPr>
        <w:spacing w:after="80"/>
      </w:pPr>
      <w:r>
        <w:t xml:space="preserve">Communicate insights clearly to both technical and non-technical stakeholders.</w:t>
      </w:r>
    </w:p>
    <w:p>
      <w:pPr>
        <w:pStyle w:val="Heading1"/>
        <w:spacing w:after="150" w:before="300"/>
      </w:pPr>
      <w:r>
        <w:rPr>
          <w:b/>
          <w:bCs/>
          <w:color w:val="1F4E79"/>
        </w:rPr>
        <w:t xml:space="preserve">3. Planned Visualisations and Tools</w:t>
      </w:r>
    </w:p>
    <w:p>
      <w:pPr>
        <w:spacing w:after="150"/>
      </w:pPr>
      <w:r>
        <w:t xml:space="preserve">All visualisations will be built using matplotlib for foundational plotting and seaborn for statistically-oriented, aesthetically refined charts. Where interactivity would aid exploration (e.g., hovering over data points for patient-level detail), plotly will optionally be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00"/>
        <w:gridCol w:w="2400"/>
      </w:tblGrid>
      <w:tr>
        <w:trPr>
          <w:tblHeader/>
        </w:trPr>
        <w:tc>
          <w:tcPr>
            <w:tcW w:type="dxa" w:w="1900"/>
            <w:shd w:fill="1F4E79" w:val="clear"/>
            <w:tcMar>
              <w:top w:type="dxa" w:w="80"/>
              <w:left w:type="dxa" w:w="100"/>
              <w:bottom w:type="dxa" w:w="80"/>
              <w:right w:type="dxa" w:w="100"/>
            </w:tcMar>
          </w:tcPr>
          <w:p>
            <w:r>
              <w:rPr>
                <w:b/>
                <w:bCs/>
                <w:color w:val="FFFFFF"/>
                <w:sz w:val="20"/>
                <w:szCs w:val="20"/>
              </w:rPr>
              <w:t xml:space="preserve">Visualisation</w:t>
            </w:r>
          </w:p>
        </w:tc>
        <w:tc>
          <w:tcPr>
            <w:tcW w:type="dxa" w:w="2500"/>
            <w:shd w:fill="1F4E79" w:val="clear"/>
            <w:tcMar>
              <w:top w:type="dxa" w:w="80"/>
              <w:left w:type="dxa" w:w="100"/>
              <w:bottom w:type="dxa" w:w="80"/>
              <w:right w:type="dxa" w:w="100"/>
            </w:tcMar>
          </w:tcPr>
          <w:p>
            <w:r>
              <w:rPr>
                <w:b/>
                <w:bCs/>
                <w:color w:val="FFFFFF"/>
                <w:sz w:val="20"/>
                <w:szCs w:val="20"/>
              </w:rPr>
              <w:t xml:space="preserve">Applied To</w:t>
            </w:r>
          </w:p>
        </w:tc>
        <w:tc>
          <w:tcPr>
            <w:tcW w:type="dxa" w:w="2400"/>
            <w:shd w:fill="1F4E79" w:val="clear"/>
            <w:tcMar>
              <w:top w:type="dxa" w:w="80"/>
              <w:left w:type="dxa" w:w="100"/>
              <w:bottom w:type="dxa" w:w="80"/>
              <w:right w:type="dxa" w:w="100"/>
            </w:tcMar>
          </w:tcPr>
          <w:p>
            <w:r>
              <w:rPr>
                <w:b/>
                <w:bCs/>
                <w:color w:val="FFFFFF"/>
                <w:sz w:val="20"/>
                <w:szCs w:val="20"/>
              </w:rPr>
              <w:t xml:space="preserve">Library / Function</w:t>
            </w:r>
          </w:p>
        </w:tc>
        <w:tc>
          <w:tcPr>
            <w:tcW w:type="dxa" w:w="2400"/>
            <w:shd w:fill="1F4E79" w:val="clear"/>
            <w:tcMar>
              <w:top w:type="dxa" w:w="80"/>
              <w:left w:type="dxa" w:w="100"/>
              <w:bottom w:type="dxa" w:w="80"/>
              <w:right w:type="dxa" w:w="100"/>
            </w:tcMar>
          </w:tcPr>
          <w:p>
            <w:r>
              <w:rPr>
                <w:b/>
                <w:bCs/>
                <w:color w:val="FFFFFF"/>
                <w:sz w:val="20"/>
                <w:szCs w:val="20"/>
              </w:rPr>
              <w:t xml:space="preserve">Purpose</w:t>
            </w:r>
          </w:p>
        </w:tc>
      </w:tr>
      <w:tr>
        <w:tc>
          <w:tcPr>
            <w:tcW w:type="dxa" w:w="1900"/>
            <w:shd w:fill="FFFFFF" w:val="clear"/>
            <w:tcMar>
              <w:top w:type="dxa" w:w="80"/>
              <w:left w:type="dxa" w:w="100"/>
              <w:bottom w:type="dxa" w:w="80"/>
              <w:right w:type="dxa" w:w="100"/>
            </w:tcMar>
          </w:tcPr>
          <w:p>
            <w:r>
              <w:rPr>
                <w:sz w:val="20"/>
                <w:szCs w:val="20"/>
              </w:rPr>
              <w:t xml:space="preserve">Histogram / KDE plot</w:t>
            </w:r>
          </w:p>
        </w:tc>
        <w:tc>
          <w:tcPr>
            <w:tcW w:type="dxa" w:w="2500"/>
            <w:shd w:fill="FFFFFF" w:val="clear"/>
            <w:tcMar>
              <w:top w:type="dxa" w:w="80"/>
              <w:left w:type="dxa" w:w="100"/>
              <w:bottom w:type="dxa" w:w="80"/>
              <w:right w:type="dxa" w:w="100"/>
            </w:tcMar>
          </w:tcPr>
          <w:p>
            <w:r>
              <w:rPr>
                <w:sz w:val="20"/>
                <w:szCs w:val="20"/>
              </w:rPr>
              <w:t xml:space="preserve">Glucose, BMI, Age, Insulin</w:t>
            </w:r>
          </w:p>
        </w:tc>
        <w:tc>
          <w:tcPr>
            <w:tcW w:type="dxa" w:w="2400"/>
            <w:shd w:fill="FFFFFF" w:val="clear"/>
            <w:tcMar>
              <w:top w:type="dxa" w:w="80"/>
              <w:left w:type="dxa" w:w="100"/>
              <w:bottom w:type="dxa" w:w="80"/>
              <w:right w:type="dxa" w:w="100"/>
            </w:tcMar>
          </w:tcPr>
          <w:p>
            <w:r>
              <w:rPr>
                <w:sz w:val="20"/>
                <w:szCs w:val="20"/>
              </w:rPr>
              <w:t xml:space="preserve">seaborn.histplot / kdeplot</w:t>
            </w:r>
          </w:p>
        </w:tc>
        <w:tc>
          <w:tcPr>
            <w:tcW w:type="dxa" w:w="2400"/>
            <w:shd w:fill="FFFFFF" w:val="clear"/>
            <w:tcMar>
              <w:top w:type="dxa" w:w="80"/>
              <w:left w:type="dxa" w:w="100"/>
              <w:bottom w:type="dxa" w:w="80"/>
              <w:right w:type="dxa" w:w="100"/>
            </w:tcMar>
          </w:tcPr>
          <w:p>
            <w:r>
              <w:rPr>
                <w:sz w:val="20"/>
                <w:szCs w:val="20"/>
              </w:rPr>
              <w:t xml:space="preserve">Reveal the shape, skew, and spread of each numeric feature</w:t>
            </w:r>
          </w:p>
        </w:tc>
      </w:tr>
      <w:tr>
        <w:tc>
          <w:tcPr>
            <w:tcW w:type="dxa" w:w="1900"/>
            <w:shd w:fill="DDEBF7" w:val="clear"/>
            <w:tcMar>
              <w:top w:type="dxa" w:w="80"/>
              <w:left w:type="dxa" w:w="100"/>
              <w:bottom w:type="dxa" w:w="80"/>
              <w:right w:type="dxa" w:w="100"/>
            </w:tcMar>
          </w:tcPr>
          <w:p>
            <w:r>
              <w:rPr>
                <w:sz w:val="20"/>
                <w:szCs w:val="20"/>
              </w:rPr>
              <w:t xml:space="preserve">Box plot</w:t>
            </w:r>
          </w:p>
        </w:tc>
        <w:tc>
          <w:tcPr>
            <w:tcW w:type="dxa" w:w="2500"/>
            <w:shd w:fill="DDEBF7" w:val="clear"/>
            <w:tcMar>
              <w:top w:type="dxa" w:w="80"/>
              <w:left w:type="dxa" w:w="100"/>
              <w:bottom w:type="dxa" w:w="80"/>
              <w:right w:type="dxa" w:w="100"/>
            </w:tcMar>
          </w:tcPr>
          <w:p>
            <w:r>
              <w:rPr>
                <w:sz w:val="20"/>
                <w:szCs w:val="20"/>
              </w:rPr>
              <w:t xml:space="preserve">All numeric features, split by Outcome</w:t>
            </w:r>
          </w:p>
        </w:tc>
        <w:tc>
          <w:tcPr>
            <w:tcW w:type="dxa" w:w="2400"/>
            <w:shd w:fill="DDEBF7" w:val="clear"/>
            <w:tcMar>
              <w:top w:type="dxa" w:w="80"/>
              <w:left w:type="dxa" w:w="100"/>
              <w:bottom w:type="dxa" w:w="80"/>
              <w:right w:type="dxa" w:w="100"/>
            </w:tcMar>
          </w:tcPr>
          <w:p>
            <w:r>
              <w:rPr>
                <w:sz w:val="20"/>
                <w:szCs w:val="20"/>
              </w:rPr>
              <w:t xml:space="preserve">seaborn.boxplot</w:t>
            </w:r>
          </w:p>
        </w:tc>
        <w:tc>
          <w:tcPr>
            <w:tcW w:type="dxa" w:w="2400"/>
            <w:shd w:fill="DDEBF7" w:val="clear"/>
            <w:tcMar>
              <w:top w:type="dxa" w:w="80"/>
              <w:left w:type="dxa" w:w="100"/>
              <w:bottom w:type="dxa" w:w="80"/>
              <w:right w:type="dxa" w:w="100"/>
            </w:tcMar>
          </w:tcPr>
          <w:p>
            <w:r>
              <w:rPr>
                <w:sz w:val="20"/>
                <w:szCs w:val="20"/>
              </w:rPr>
              <w:t xml:space="preserve">Compare distributions between diabetic and non-diabetic groups; spot outliers</w:t>
            </w:r>
          </w:p>
        </w:tc>
      </w:tr>
      <w:tr>
        <w:tc>
          <w:tcPr>
            <w:tcW w:type="dxa" w:w="1900"/>
            <w:shd w:fill="FFFFFF" w:val="clear"/>
            <w:tcMar>
              <w:top w:type="dxa" w:w="80"/>
              <w:left w:type="dxa" w:w="100"/>
              <w:bottom w:type="dxa" w:w="80"/>
              <w:right w:type="dxa" w:w="100"/>
            </w:tcMar>
          </w:tcPr>
          <w:p>
            <w:r>
              <w:rPr>
                <w:sz w:val="20"/>
                <w:szCs w:val="20"/>
              </w:rPr>
              <w:t xml:space="preserve">Violin plot</w:t>
            </w:r>
          </w:p>
        </w:tc>
        <w:tc>
          <w:tcPr>
            <w:tcW w:type="dxa" w:w="2500"/>
            <w:shd w:fill="FFFFFF" w:val="clear"/>
            <w:tcMar>
              <w:top w:type="dxa" w:w="80"/>
              <w:left w:type="dxa" w:w="100"/>
              <w:bottom w:type="dxa" w:w="80"/>
              <w:right w:type="dxa" w:w="100"/>
            </w:tcMar>
          </w:tcPr>
          <w:p>
            <w:r>
              <w:rPr>
                <w:sz w:val="20"/>
                <w:szCs w:val="20"/>
              </w:rPr>
              <w:t xml:space="preserve">Glucose, BMI vs Outcome</w:t>
            </w:r>
          </w:p>
        </w:tc>
        <w:tc>
          <w:tcPr>
            <w:tcW w:type="dxa" w:w="2400"/>
            <w:shd w:fill="FFFFFF" w:val="clear"/>
            <w:tcMar>
              <w:top w:type="dxa" w:w="80"/>
              <w:left w:type="dxa" w:w="100"/>
              <w:bottom w:type="dxa" w:w="80"/>
              <w:right w:type="dxa" w:w="100"/>
            </w:tcMar>
          </w:tcPr>
          <w:p>
            <w:r>
              <w:rPr>
                <w:sz w:val="20"/>
                <w:szCs w:val="20"/>
              </w:rPr>
              <w:t xml:space="preserve">seaborn.violinplot</w:t>
            </w:r>
          </w:p>
        </w:tc>
        <w:tc>
          <w:tcPr>
            <w:tcW w:type="dxa" w:w="2400"/>
            <w:shd w:fill="FFFFFF" w:val="clear"/>
            <w:tcMar>
              <w:top w:type="dxa" w:w="80"/>
              <w:left w:type="dxa" w:w="100"/>
              <w:bottom w:type="dxa" w:w="80"/>
              <w:right w:type="dxa" w:w="100"/>
            </w:tcMar>
          </w:tcPr>
          <w:p>
            <w:r>
              <w:rPr>
                <w:sz w:val="20"/>
                <w:szCs w:val="20"/>
              </w:rPr>
              <w:t xml:space="preserve">Combine box-plot summary with distribution density</w:t>
            </w:r>
          </w:p>
        </w:tc>
      </w:tr>
      <w:tr>
        <w:tc>
          <w:tcPr>
            <w:tcW w:type="dxa" w:w="1900"/>
            <w:shd w:fill="DDEBF7" w:val="clear"/>
            <w:tcMar>
              <w:top w:type="dxa" w:w="80"/>
              <w:left w:type="dxa" w:w="100"/>
              <w:bottom w:type="dxa" w:w="80"/>
              <w:right w:type="dxa" w:w="100"/>
            </w:tcMar>
          </w:tcPr>
          <w:p>
            <w:r>
              <w:rPr>
                <w:sz w:val="20"/>
                <w:szCs w:val="20"/>
              </w:rPr>
              <w:t xml:space="preserve">Correlation heatmap</w:t>
            </w:r>
          </w:p>
        </w:tc>
        <w:tc>
          <w:tcPr>
            <w:tcW w:type="dxa" w:w="2500"/>
            <w:shd w:fill="DDEBF7" w:val="clear"/>
            <w:tcMar>
              <w:top w:type="dxa" w:w="80"/>
              <w:left w:type="dxa" w:w="100"/>
              <w:bottom w:type="dxa" w:w="80"/>
              <w:right w:type="dxa" w:w="100"/>
            </w:tcMar>
          </w:tcPr>
          <w:p>
            <w:r>
              <w:rPr>
                <w:sz w:val="20"/>
                <w:szCs w:val="20"/>
              </w:rPr>
              <w:t xml:space="preserve">All numeric features</w:t>
            </w:r>
          </w:p>
        </w:tc>
        <w:tc>
          <w:tcPr>
            <w:tcW w:type="dxa" w:w="2400"/>
            <w:shd w:fill="DDEBF7" w:val="clear"/>
            <w:tcMar>
              <w:top w:type="dxa" w:w="80"/>
              <w:left w:type="dxa" w:w="100"/>
              <w:bottom w:type="dxa" w:w="80"/>
              <w:right w:type="dxa" w:w="100"/>
            </w:tcMar>
          </w:tcPr>
          <w:p>
            <w:r>
              <w:rPr>
                <w:sz w:val="20"/>
                <w:szCs w:val="20"/>
              </w:rPr>
              <w:t xml:space="preserve">seaborn.heatmap</w:t>
            </w:r>
          </w:p>
        </w:tc>
        <w:tc>
          <w:tcPr>
            <w:tcW w:type="dxa" w:w="2400"/>
            <w:shd w:fill="DDEBF7" w:val="clear"/>
            <w:tcMar>
              <w:top w:type="dxa" w:w="80"/>
              <w:left w:type="dxa" w:w="100"/>
              <w:bottom w:type="dxa" w:w="80"/>
              <w:right w:type="dxa" w:w="100"/>
            </w:tcMar>
          </w:tcPr>
          <w:p>
            <w:r>
              <w:rPr>
                <w:sz w:val="20"/>
                <w:szCs w:val="20"/>
              </w:rPr>
              <w:t xml:space="preserve">Identify multicollinearity and features most correlated with Outcome</w:t>
            </w:r>
          </w:p>
        </w:tc>
      </w:tr>
      <w:tr>
        <w:tc>
          <w:tcPr>
            <w:tcW w:type="dxa" w:w="1900"/>
            <w:shd w:fill="FFFFFF" w:val="clear"/>
            <w:tcMar>
              <w:top w:type="dxa" w:w="80"/>
              <w:left w:type="dxa" w:w="100"/>
              <w:bottom w:type="dxa" w:w="80"/>
              <w:right w:type="dxa" w:w="100"/>
            </w:tcMar>
          </w:tcPr>
          <w:p>
            <w:r>
              <w:rPr>
                <w:sz w:val="20"/>
                <w:szCs w:val="20"/>
              </w:rPr>
              <w:t xml:space="preserve">Pair plot</w:t>
            </w:r>
          </w:p>
        </w:tc>
        <w:tc>
          <w:tcPr>
            <w:tcW w:type="dxa" w:w="2500"/>
            <w:shd w:fill="FFFFFF" w:val="clear"/>
            <w:tcMar>
              <w:top w:type="dxa" w:w="80"/>
              <w:left w:type="dxa" w:w="100"/>
              <w:bottom w:type="dxa" w:w="80"/>
              <w:right w:type="dxa" w:w="100"/>
            </w:tcMar>
          </w:tcPr>
          <w:p>
            <w:r>
              <w:rPr>
                <w:sz w:val="20"/>
                <w:szCs w:val="20"/>
              </w:rPr>
              <w:t xml:space="preserve">Glucose, BMI, Age, Insulin, Outcome</w:t>
            </w:r>
          </w:p>
        </w:tc>
        <w:tc>
          <w:tcPr>
            <w:tcW w:type="dxa" w:w="2400"/>
            <w:shd w:fill="FFFFFF" w:val="clear"/>
            <w:tcMar>
              <w:top w:type="dxa" w:w="80"/>
              <w:left w:type="dxa" w:w="100"/>
              <w:bottom w:type="dxa" w:w="80"/>
              <w:right w:type="dxa" w:w="100"/>
            </w:tcMar>
          </w:tcPr>
          <w:p>
            <w:r>
              <w:rPr>
                <w:sz w:val="20"/>
                <w:szCs w:val="20"/>
              </w:rPr>
              <w:t xml:space="preserve">seaborn.pairplot</w:t>
            </w:r>
          </w:p>
        </w:tc>
        <w:tc>
          <w:tcPr>
            <w:tcW w:type="dxa" w:w="2400"/>
            <w:shd w:fill="FFFFFF" w:val="clear"/>
            <w:tcMar>
              <w:top w:type="dxa" w:w="80"/>
              <w:left w:type="dxa" w:w="100"/>
              <w:bottom w:type="dxa" w:w="80"/>
              <w:right w:type="dxa" w:w="100"/>
            </w:tcMar>
          </w:tcPr>
          <w:p>
            <w:r>
              <w:rPr>
                <w:sz w:val="20"/>
                <w:szCs w:val="20"/>
              </w:rPr>
              <w:t xml:space="preserve">Visualise pairwise relationships and class separability</w:t>
            </w:r>
          </w:p>
        </w:tc>
      </w:tr>
      <w:tr>
        <w:tc>
          <w:tcPr>
            <w:tcW w:type="dxa" w:w="1900"/>
            <w:shd w:fill="DDEBF7" w:val="clear"/>
            <w:tcMar>
              <w:top w:type="dxa" w:w="80"/>
              <w:left w:type="dxa" w:w="100"/>
              <w:bottom w:type="dxa" w:w="80"/>
              <w:right w:type="dxa" w:w="100"/>
            </w:tcMar>
          </w:tcPr>
          <w:p>
            <w:r>
              <w:rPr>
                <w:sz w:val="20"/>
                <w:szCs w:val="20"/>
              </w:rPr>
              <w:t xml:space="preserve">Count / bar plot</w:t>
            </w:r>
          </w:p>
        </w:tc>
        <w:tc>
          <w:tcPr>
            <w:tcW w:type="dxa" w:w="2500"/>
            <w:shd w:fill="DDEBF7" w:val="clear"/>
            <w:tcMar>
              <w:top w:type="dxa" w:w="80"/>
              <w:left w:type="dxa" w:w="100"/>
              <w:bottom w:type="dxa" w:w="80"/>
              <w:right w:type="dxa" w:w="100"/>
            </w:tcMar>
          </w:tcPr>
          <w:p>
            <w:r>
              <w:rPr>
                <w:sz w:val="20"/>
                <w:szCs w:val="20"/>
              </w:rPr>
              <w:t xml:space="preserve">Outcome, engineered BMI Category, Age Group</w:t>
            </w:r>
          </w:p>
        </w:tc>
        <w:tc>
          <w:tcPr>
            <w:tcW w:type="dxa" w:w="2400"/>
            <w:shd w:fill="DDEBF7" w:val="clear"/>
            <w:tcMar>
              <w:top w:type="dxa" w:w="80"/>
              <w:left w:type="dxa" w:w="100"/>
              <w:bottom w:type="dxa" w:w="80"/>
              <w:right w:type="dxa" w:w="100"/>
            </w:tcMar>
          </w:tcPr>
          <w:p>
            <w:r>
              <w:rPr>
                <w:sz w:val="20"/>
                <w:szCs w:val="20"/>
              </w:rPr>
              <w:t xml:space="preserve">seaborn.countplot</w:t>
            </w:r>
          </w:p>
        </w:tc>
        <w:tc>
          <w:tcPr>
            <w:tcW w:type="dxa" w:w="2400"/>
            <w:shd w:fill="DDEBF7" w:val="clear"/>
            <w:tcMar>
              <w:top w:type="dxa" w:w="80"/>
              <w:left w:type="dxa" w:w="100"/>
              <w:bottom w:type="dxa" w:w="80"/>
              <w:right w:type="dxa" w:w="100"/>
            </w:tcMar>
          </w:tcPr>
          <w:p>
            <w:r>
              <w:rPr>
                <w:sz w:val="20"/>
                <w:szCs w:val="20"/>
              </w:rPr>
              <w:t xml:space="preserve">Show class balance and category-wise disease prevalence</w:t>
            </w:r>
          </w:p>
        </w:tc>
      </w:tr>
      <w:tr>
        <w:tc>
          <w:tcPr>
            <w:tcW w:type="dxa" w:w="1900"/>
            <w:shd w:fill="FFFFFF" w:val="clear"/>
            <w:tcMar>
              <w:top w:type="dxa" w:w="80"/>
              <w:left w:type="dxa" w:w="100"/>
              <w:bottom w:type="dxa" w:w="80"/>
              <w:right w:type="dxa" w:w="100"/>
            </w:tcMar>
          </w:tcPr>
          <w:p>
            <w:r>
              <w:rPr>
                <w:sz w:val="20"/>
                <w:szCs w:val="20"/>
              </w:rPr>
              <w:t xml:space="preserve">Scatter plot</w:t>
            </w:r>
          </w:p>
        </w:tc>
        <w:tc>
          <w:tcPr>
            <w:tcW w:type="dxa" w:w="2500"/>
            <w:shd w:fill="FFFFFF" w:val="clear"/>
            <w:tcMar>
              <w:top w:type="dxa" w:w="80"/>
              <w:left w:type="dxa" w:w="100"/>
              <w:bottom w:type="dxa" w:w="80"/>
              <w:right w:type="dxa" w:w="100"/>
            </w:tcMar>
          </w:tcPr>
          <w:p>
            <w:r>
              <w:rPr>
                <w:sz w:val="20"/>
                <w:szCs w:val="20"/>
              </w:rPr>
              <w:t xml:space="preserve">Glucose vs BMI, coloured by Outcome</w:t>
            </w:r>
          </w:p>
        </w:tc>
        <w:tc>
          <w:tcPr>
            <w:tcW w:type="dxa" w:w="2400"/>
            <w:shd w:fill="FFFFFF" w:val="clear"/>
            <w:tcMar>
              <w:top w:type="dxa" w:w="80"/>
              <w:left w:type="dxa" w:w="100"/>
              <w:bottom w:type="dxa" w:w="80"/>
              <w:right w:type="dxa" w:w="100"/>
            </w:tcMar>
          </w:tcPr>
          <w:p>
            <w:r>
              <w:rPr>
                <w:sz w:val="20"/>
                <w:szCs w:val="20"/>
              </w:rPr>
              <w:t xml:space="preserve">seaborn.scatterplot</w:t>
            </w:r>
          </w:p>
        </w:tc>
        <w:tc>
          <w:tcPr>
            <w:tcW w:type="dxa" w:w="2400"/>
            <w:shd w:fill="FFFFFF" w:val="clear"/>
            <w:tcMar>
              <w:top w:type="dxa" w:w="80"/>
              <w:left w:type="dxa" w:w="100"/>
              <w:bottom w:type="dxa" w:w="80"/>
              <w:right w:type="dxa" w:w="100"/>
            </w:tcMar>
          </w:tcPr>
          <w:p>
            <w:r>
              <w:rPr>
                <w:sz w:val="20"/>
                <w:szCs w:val="20"/>
              </w:rPr>
              <w:t xml:space="preserve">Explore two-feature interaction and visual class separation</w:t>
            </w:r>
          </w:p>
        </w:tc>
      </w:tr>
    </w:tbl>
    <w:p>
      <w:pPr>
        <w:pStyle w:val="Heading1"/>
        <w:spacing w:after="150" w:before="300"/>
      </w:pPr>
      <w:r>
        <w:rPr>
          <w:b/>
          <w:bCs/>
          <w:color w:val="1F4E79"/>
        </w:rPr>
        <w:t xml:space="preserve">4. Alignment of Visualisations with Project Objectives</w:t>
      </w:r>
    </w:p>
    <w:p>
      <w:pPr>
        <w:pStyle w:val="Heading2"/>
        <w:spacing w:after="100" w:before="200"/>
      </w:pPr>
      <w:r>
        <w:rPr>
          <w:b/>
          <w:bCs/>
          <w:color w:val="2E75B6"/>
        </w:rPr>
        <w:t xml:space="preserve">4.1 Univariate Analysis</w:t>
      </w:r>
    </w:p>
    <w:p>
      <w:pPr>
        <w:spacing w:after="150"/>
      </w:pPr>
      <w:r>
        <w:t xml:space="preserve">Histograms and KDE plots for Glucose, BMI, Age, and Insulin will reveal whether these features are normally distributed or skewed, directly informing the choice of imputation and scaling techniques already applied, and confirming whether transformation (e.g., log-transform for Insulin) is warranted before modelling.</w:t>
      </w:r>
    </w:p>
    <w:p>
      <w:pPr>
        <w:pStyle w:val="Heading2"/>
        <w:spacing w:after="100" w:before="200"/>
      </w:pPr>
      <w:r>
        <w:rPr>
          <w:b/>
          <w:bCs/>
          <w:color w:val="2E75B6"/>
        </w:rPr>
        <w:t xml:space="preserve">4.2 Bivariate / Target-Relationship Analysis</w:t>
      </w:r>
    </w:p>
    <w:p>
      <w:pPr>
        <w:spacing w:after="150"/>
      </w:pPr>
      <w:r>
        <w:t xml:space="preserve">Box and violin plots segmented by the Outcome variable will help identify which features show the clearest separation between diabetic and non-diabetic patients — for example, it is expected that Glucose will show the strongest visual separation, consistent with its known clinical relevance to diabetes.</w:t>
      </w:r>
    </w:p>
    <w:p>
      <w:pPr>
        <w:pStyle w:val="Heading2"/>
        <w:spacing w:after="100" w:before="200"/>
      </w:pPr>
      <w:r>
        <w:rPr>
          <w:b/>
          <w:bCs/>
          <w:color w:val="2E75B6"/>
        </w:rPr>
        <w:t xml:space="preserve">4.3 Multivariate / Correlation Analysis</w:t>
      </w:r>
    </w:p>
    <w:p>
      <w:pPr>
        <w:spacing w:after="150"/>
      </w:pPr>
      <w:r>
        <w:t xml:space="preserve">The correlation heatmap will quantify linear relationships between all numeric predictors and the target. Highly correlated predictor pairs (e.g., SkinThickness and BMI) will be flagged as candidates for dimensionality reduction or careful feature selection to reduce multicollinearity risk in linear models.</w:t>
      </w:r>
    </w:p>
    <w:p>
      <w:pPr>
        <w:pStyle w:val="Heading2"/>
        <w:spacing w:after="100" w:before="200"/>
      </w:pPr>
      <w:r>
        <w:rPr>
          <w:b/>
          <w:bCs/>
          <w:color w:val="2E75B6"/>
        </w:rPr>
        <w:t xml:space="preserve">4.4 Class Balance Analysis</w:t>
      </w:r>
    </w:p>
    <w:p>
      <w:pPr>
        <w:spacing w:after="150"/>
      </w:pPr>
      <w:r>
        <w:t xml:space="preserve">A count plot of the Outcome variable will visually confirm the class imbalance identified in Week 2 (~65:35 split), reinforcing the need for the resampling and class-weighting strategies already planned.</w:t>
      </w:r>
    </w:p>
    <w:p>
      <w:pPr>
        <w:pStyle w:val="Heading1"/>
        <w:spacing w:after="150" w:before="300"/>
      </w:pPr>
      <w:r>
        <w:rPr>
          <w:b/>
          <w:bCs/>
          <w:color w:val="1F4E79"/>
        </w:rPr>
        <w:t xml:space="preserve">5. Step-by-Step EDA Implementation Plan</w:t>
      </w:r>
    </w:p>
    <w:p>
      <w:pPr>
        <w:pStyle w:val="ListParagraph"/>
        <w:numPr>
          <w:ilvl w:val="0"/>
          <w:numId w:val="3"/>
        </w:numPr>
        <w:spacing w:after="80"/>
      </w:pPr>
      <w:r>
        <w:t xml:space="preserve">Load the cleaned dataset produced at the end of the Week 2 pipeline.</w:t>
      </w:r>
    </w:p>
    <w:p>
      <w:pPr>
        <w:pStyle w:val="ListParagraph"/>
        <w:numPr>
          <w:ilvl w:val="0"/>
          <w:numId w:val="3"/>
        </w:numPr>
        <w:spacing w:after="80"/>
      </w:pPr>
      <w:r>
        <w:t xml:space="preserve">Generate summary statistics using df.describe() and df.info() to confirm data types and ranges.</w:t>
      </w:r>
    </w:p>
    <w:p>
      <w:pPr>
        <w:pStyle w:val="ListParagraph"/>
        <w:numPr>
          <w:ilvl w:val="0"/>
          <w:numId w:val="3"/>
        </w:numPr>
        <w:spacing w:after="80"/>
      </w:pPr>
      <w:r>
        <w:t xml:space="preserve">Produce univariate plots (histograms/KDE) for every numeric feature.</w:t>
      </w:r>
    </w:p>
    <w:p>
      <w:pPr>
        <w:pStyle w:val="ListParagraph"/>
        <w:numPr>
          <w:ilvl w:val="0"/>
          <w:numId w:val="3"/>
        </w:numPr>
        <w:spacing w:after="80"/>
      </w:pPr>
      <w:r>
        <w:t xml:space="preserve">Produce box/violin plots segmented by Outcome for each numeric feature.</w:t>
      </w:r>
    </w:p>
    <w:p>
      <w:pPr>
        <w:pStyle w:val="ListParagraph"/>
        <w:numPr>
          <w:ilvl w:val="0"/>
          <w:numId w:val="3"/>
        </w:numPr>
        <w:spacing w:after="80"/>
      </w:pPr>
      <w:r>
        <w:t xml:space="preserve">Compute and visualise the correlation matrix as a heatmap.</w:t>
      </w:r>
    </w:p>
    <w:p>
      <w:pPr>
        <w:pStyle w:val="ListParagraph"/>
        <w:numPr>
          <w:ilvl w:val="0"/>
          <w:numId w:val="3"/>
        </w:numPr>
        <w:spacing w:after="80"/>
      </w:pPr>
      <w:r>
        <w:t xml:space="preserve">Generate a pair plot for the most relevant subset of features.</w:t>
      </w:r>
    </w:p>
    <w:p>
      <w:pPr>
        <w:pStyle w:val="ListParagraph"/>
        <w:numPr>
          <w:ilvl w:val="0"/>
          <w:numId w:val="3"/>
        </w:numPr>
        <w:spacing w:after="80"/>
      </w:pPr>
      <w:r>
        <w:t xml:space="preserve">Visualise class distribution and engineered categorical features with count plots.</w:t>
      </w:r>
    </w:p>
    <w:p>
      <w:pPr>
        <w:pStyle w:val="ListParagraph"/>
        <w:numPr>
          <w:ilvl w:val="0"/>
          <w:numId w:val="3"/>
        </w:numPr>
        <w:spacing w:after="80"/>
      </w:pPr>
      <w:r>
        <w:t xml:space="preserve">Document key observations after each visualisation in a structured findings log.</w:t>
      </w:r>
    </w:p>
    <w:p>
      <w:pPr>
        <w:pStyle w:val="ListParagraph"/>
        <w:numPr>
          <w:ilvl w:val="0"/>
          <w:numId w:val="3"/>
        </w:numPr>
        <w:spacing w:after="80"/>
      </w:pPr>
      <w:r>
        <w:t xml:space="preserve">Shortlist candidate features for modelling based on observed separability and correlation strength.</w:t>
      </w:r>
    </w:p>
    <w:p>
      <w:pPr>
        <w:pStyle w:val="Heading1"/>
        <w:spacing w:after="150" w:before="300"/>
      </w:pPr>
      <w:r>
        <w:rPr>
          <w:b/>
          <w:bCs/>
          <w:color w:val="1F4E79"/>
        </w:rPr>
        <w:t xml:space="preserve">6. EDA Workflow</w:t>
      </w:r>
    </w:p>
    <w:p>
      <w:pPr>
        <w:shd w:fill="1F4E79" w:val="clear"/>
        <w:spacing w:after="40"/>
      </w:pPr>
      <w:r>
        <w:rPr>
          <w:b/>
          <w:bCs/>
          <w:color w:val="FFFFFF"/>
        </w:rPr>
        <w:t xml:space="preserve">[ Load cleaned data ]</w:t>
      </w:r>
    </w:p>
    <w:p>
      <w:pPr>
        <w:spacing w:after="40"/>
        <w:jc w:val="center"/>
      </w:pPr>
      <w:r>
        <w:rPr>
          <w:b/>
          <w:bCs/>
          <w:color w:val="1F4E79"/>
          <w:sz w:val="28"/>
          <w:szCs w:val="28"/>
        </w:rPr>
        <w:t xml:space="preserve">↓</w:t>
      </w:r>
    </w:p>
    <w:p>
      <w:pPr>
        <w:shd w:fill="1F4E79" w:val="clear"/>
        <w:spacing w:after="40"/>
      </w:pPr>
      <w:r>
        <w:rPr>
          <w:b/>
          <w:bCs/>
          <w:color w:val="FFFFFF"/>
        </w:rPr>
        <w:t xml:space="preserve">[ Generate descriptive statistics ]</w:t>
      </w:r>
    </w:p>
    <w:p>
      <w:pPr>
        <w:spacing w:after="40"/>
        <w:jc w:val="center"/>
      </w:pPr>
      <w:r>
        <w:rPr>
          <w:b/>
          <w:bCs/>
          <w:color w:val="1F4E79"/>
          <w:sz w:val="28"/>
          <w:szCs w:val="28"/>
        </w:rPr>
        <w:t xml:space="preserve">↓</w:t>
      </w:r>
    </w:p>
    <w:p>
      <w:pPr>
        <w:shd w:fill="1F4E79" w:val="clear"/>
        <w:spacing w:after="40"/>
      </w:pPr>
      <w:r>
        <w:rPr>
          <w:b/>
          <w:bCs/>
          <w:color w:val="FFFFFF"/>
        </w:rPr>
        <w:t xml:space="preserve">[ Univariate visualisation ]</w:t>
      </w:r>
    </w:p>
    <w:p>
      <w:pPr>
        <w:spacing w:after="40"/>
        <w:jc w:val="center"/>
      </w:pPr>
      <w:r>
        <w:rPr>
          <w:b/>
          <w:bCs/>
          <w:color w:val="1F4E79"/>
          <w:sz w:val="28"/>
          <w:szCs w:val="28"/>
        </w:rPr>
        <w:t xml:space="preserve">↓</w:t>
      </w:r>
    </w:p>
    <w:p>
      <w:pPr>
        <w:shd w:fill="1F4E79" w:val="clear"/>
        <w:spacing w:after="40"/>
      </w:pPr>
      <w:r>
        <w:rPr>
          <w:b/>
          <w:bCs/>
          <w:color w:val="FFFFFF"/>
        </w:rPr>
        <w:t xml:space="preserve">[ Bivariate visualisation (vs Outcome) ]</w:t>
      </w:r>
    </w:p>
    <w:p>
      <w:pPr>
        <w:spacing w:after="40"/>
        <w:jc w:val="center"/>
      </w:pPr>
      <w:r>
        <w:rPr>
          <w:b/>
          <w:bCs/>
          <w:color w:val="1F4E79"/>
          <w:sz w:val="28"/>
          <w:szCs w:val="28"/>
        </w:rPr>
        <w:t xml:space="preserve">↓</w:t>
      </w:r>
    </w:p>
    <w:p>
      <w:pPr>
        <w:shd w:fill="1F4E79" w:val="clear"/>
        <w:spacing w:after="40"/>
      </w:pPr>
      <w:r>
        <w:rPr>
          <w:b/>
          <w:bCs/>
          <w:color w:val="FFFFFF"/>
        </w:rPr>
        <w:t xml:space="preserve">[ Correlation &amp; multivariate analysis ]</w:t>
      </w:r>
    </w:p>
    <w:p>
      <w:pPr>
        <w:spacing w:after="40"/>
        <w:jc w:val="center"/>
      </w:pPr>
      <w:r>
        <w:rPr>
          <w:b/>
          <w:bCs/>
          <w:color w:val="1F4E79"/>
          <w:sz w:val="28"/>
          <w:szCs w:val="28"/>
        </w:rPr>
        <w:t xml:space="preserve">↓</w:t>
      </w:r>
    </w:p>
    <w:p>
      <w:pPr>
        <w:shd w:fill="1F4E79" w:val="clear"/>
        <w:spacing w:after="40"/>
      </w:pPr>
      <w:r>
        <w:rPr>
          <w:b/>
          <w:bCs/>
          <w:color w:val="FFFFFF"/>
        </w:rPr>
        <w:t xml:space="preserve">[ Document insights ]</w:t>
      </w:r>
    </w:p>
    <w:p>
      <w:pPr>
        <w:spacing w:after="40"/>
        <w:jc w:val="center"/>
      </w:pPr>
      <w:r>
        <w:rPr>
          <w:b/>
          <w:bCs/>
          <w:color w:val="1F4E79"/>
          <w:sz w:val="28"/>
          <w:szCs w:val="28"/>
        </w:rPr>
        <w:t xml:space="preserve">↓</w:t>
      </w:r>
    </w:p>
    <w:p>
      <w:pPr>
        <w:shd w:fill="1F4E79" w:val="clear"/>
        <w:spacing w:after="150"/>
      </w:pPr>
      <w:r>
        <w:rPr>
          <w:b/>
          <w:bCs/>
          <w:color w:val="FFFFFF"/>
        </w:rPr>
        <w:t xml:space="preserve">[ Shortlist features for modelling ]</w:t>
      </w:r>
    </w:p>
    <w:p>
      <w:pPr>
        <w:pStyle w:val="Heading1"/>
        <w:spacing w:after="150" w:before="300"/>
      </w:pPr>
      <w:r>
        <w:rPr>
          <w:b/>
          <w:bCs/>
          <w:color w:val="1F4E79"/>
        </w:rPr>
        <w:t xml:space="preserve">7. Documenting and Interpreting Findings</w:t>
      </w:r>
    </w:p>
    <w:p>
      <w:pPr>
        <w:spacing w:after="150"/>
      </w:pPr>
      <w:r>
        <w:t xml:space="preserve">Each visualisation produced during the EDA phase will be accompanied by a short written interpretation covering: (1) what the chart shows, (2) why it matters for disease prediction, and (3) any action it suggests (e.g., “Glucose shows strong separation between classes — retain as a high-priority feature”). These interpretations will be compiled into a single EDA Findings Summary section at the end of the notebook / report, which will directly feed into the feature-selection decisions documented in the Week 4 modelling plan.</w:t>
      </w:r>
    </w:p>
    <w:p>
      <w:pPr>
        <w:pStyle w:val="Heading1"/>
        <w:spacing w:after="150" w:before="300"/>
      </w:pPr>
      <w:r>
        <w:rPr>
          <w:b/>
          <w:bCs/>
          <w:color w:val="1F4E79"/>
        </w:rPr>
        <w:t xml:space="preserve">8. Anticipated Challenges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800"/>
        <w:gridCol w:w="6000"/>
      </w:tblGrid>
      <w:tr>
        <w:trPr>
          <w:tblHeader/>
        </w:trPr>
        <w:tc>
          <w:tcPr>
            <w:tcW w:type="dxa" w:w="3800"/>
            <w:shd w:fill="1F4E79" w:val="clear"/>
            <w:tcMar>
              <w:top w:type="dxa" w:w="80"/>
              <w:left w:type="dxa" w:w="100"/>
              <w:bottom w:type="dxa" w:w="80"/>
              <w:right w:type="dxa" w:w="100"/>
            </w:tcMar>
          </w:tcPr>
          <w:p>
            <w:r>
              <w:rPr>
                <w:b/>
                <w:bCs/>
                <w:color w:val="FFFFFF"/>
                <w:sz w:val="20"/>
                <w:szCs w:val="20"/>
              </w:rPr>
              <w:t xml:space="preserve">Challenge</w:t>
            </w:r>
          </w:p>
        </w:tc>
        <w:tc>
          <w:tcPr>
            <w:tcW w:type="dxa" w:w="6000"/>
            <w:shd w:fill="1F4E79" w:val="clear"/>
            <w:tcMar>
              <w:top w:type="dxa" w:w="80"/>
              <w:left w:type="dxa" w:w="100"/>
              <w:bottom w:type="dxa" w:w="80"/>
              <w:right w:type="dxa" w:w="100"/>
            </w:tcMar>
          </w:tcPr>
          <w:p>
            <w:r>
              <w:rPr>
                <w:b/>
                <w:bCs/>
                <w:color w:val="FFFFFF"/>
                <w:sz w:val="20"/>
                <w:szCs w:val="20"/>
              </w:rPr>
              <w:t xml:space="preserve">Mitigation</w:t>
            </w:r>
          </w:p>
        </w:tc>
      </w:tr>
      <w:tr>
        <w:tc>
          <w:tcPr>
            <w:tcW w:type="dxa" w:w="3800"/>
            <w:shd w:fill="FFFFFF" w:val="clear"/>
            <w:tcMar>
              <w:top w:type="dxa" w:w="80"/>
              <w:left w:type="dxa" w:w="100"/>
              <w:bottom w:type="dxa" w:w="80"/>
              <w:right w:type="dxa" w:w="100"/>
            </w:tcMar>
          </w:tcPr>
          <w:p>
            <w:r>
              <w:rPr>
                <w:sz w:val="20"/>
                <w:szCs w:val="20"/>
              </w:rPr>
              <w:t xml:space="preserve">Overplotting in scatter/pair plots</w:t>
            </w:r>
          </w:p>
        </w:tc>
        <w:tc>
          <w:tcPr>
            <w:tcW w:type="dxa" w:w="6000"/>
            <w:shd w:fill="FFFFFF" w:val="clear"/>
            <w:tcMar>
              <w:top w:type="dxa" w:w="80"/>
              <w:left w:type="dxa" w:w="100"/>
              <w:bottom w:type="dxa" w:w="80"/>
              <w:right w:type="dxa" w:w="100"/>
            </w:tcMar>
          </w:tcPr>
          <w:p>
            <w:r>
              <w:rPr>
                <w:sz w:val="20"/>
                <w:szCs w:val="20"/>
              </w:rPr>
              <w:t xml:space="preserve">Use alpha transparency and sampling for dense regions; consider hexbin plots as an alternative.</w:t>
            </w:r>
          </w:p>
        </w:tc>
      </w:tr>
      <w:tr>
        <w:tc>
          <w:tcPr>
            <w:tcW w:type="dxa" w:w="3800"/>
            <w:shd w:fill="DDEBF7" w:val="clear"/>
            <w:tcMar>
              <w:top w:type="dxa" w:w="80"/>
              <w:left w:type="dxa" w:w="100"/>
              <w:bottom w:type="dxa" w:w="80"/>
              <w:right w:type="dxa" w:w="100"/>
            </w:tcMar>
          </w:tcPr>
          <w:p>
            <w:r>
              <w:rPr>
                <w:sz w:val="20"/>
                <w:szCs w:val="20"/>
              </w:rPr>
              <w:t xml:space="preserve">Misleading visual conclusions from small sample size</w:t>
            </w:r>
          </w:p>
        </w:tc>
        <w:tc>
          <w:tcPr>
            <w:tcW w:type="dxa" w:w="6000"/>
            <w:shd w:fill="DDEBF7" w:val="clear"/>
            <w:tcMar>
              <w:top w:type="dxa" w:w="80"/>
              <w:left w:type="dxa" w:w="100"/>
              <w:bottom w:type="dxa" w:w="80"/>
              <w:right w:type="dxa" w:w="100"/>
            </w:tcMar>
          </w:tcPr>
          <w:p>
            <w:r>
              <w:rPr>
                <w:sz w:val="20"/>
                <w:szCs w:val="20"/>
              </w:rPr>
              <w:t xml:space="preserve">Report sample sizes alongside all charts; avoid overgeneralising from limited data.</w:t>
            </w:r>
          </w:p>
        </w:tc>
      </w:tr>
      <w:tr>
        <w:tc>
          <w:tcPr>
            <w:tcW w:type="dxa" w:w="3800"/>
            <w:shd w:fill="FFFFFF" w:val="clear"/>
            <w:tcMar>
              <w:top w:type="dxa" w:w="80"/>
              <w:left w:type="dxa" w:w="100"/>
              <w:bottom w:type="dxa" w:w="80"/>
              <w:right w:type="dxa" w:w="100"/>
            </w:tcMar>
          </w:tcPr>
          <w:p>
            <w:r>
              <w:rPr>
                <w:sz w:val="20"/>
                <w:szCs w:val="20"/>
              </w:rPr>
              <w:t xml:space="preserve">Correlation not implying causation</w:t>
            </w:r>
          </w:p>
        </w:tc>
        <w:tc>
          <w:tcPr>
            <w:tcW w:type="dxa" w:w="6000"/>
            <w:shd w:fill="FFFFFF" w:val="clear"/>
            <w:tcMar>
              <w:top w:type="dxa" w:w="80"/>
              <w:left w:type="dxa" w:w="100"/>
              <w:bottom w:type="dxa" w:w="80"/>
              <w:right w:type="dxa" w:w="100"/>
            </w:tcMar>
          </w:tcPr>
          <w:p>
            <w:r>
              <w:rPr>
                <w:sz w:val="20"/>
                <w:szCs w:val="20"/>
              </w:rPr>
              <w:t xml:space="preserve">Explicitly caveat all correlation-based observations in the written interpretation.</w:t>
            </w:r>
          </w:p>
        </w:tc>
      </w:tr>
    </w:tbl>
    <w:p>
      <w:pPr>
        <w:pStyle w:val="Heading1"/>
        <w:spacing w:after="150" w:before="300"/>
      </w:pPr>
      <w:r>
        <w:rPr>
          <w:b/>
          <w:bCs/>
          <w:color w:val="1F4E79"/>
        </w:rPr>
        <w:t xml:space="preserve">9. Conclusion</w:t>
      </w:r>
    </w:p>
    <w:p>
      <w:pPr>
        <w:spacing w:after="150"/>
      </w:pPr>
      <w:r>
        <w:t xml:space="preserve">This EDA and visualisation strategy provides a structured, purpose-driven plan for exploring the Disease Prediction System dataset. By systematically applying univariate, bivariate, and multivariate visual techniques — and documenting insights at each step — the project will generate a well-justified, evidence-based shortlist of features to carry forward into the machine learning model selection and evaluation phase in Week 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2026-09-02T06:12:40.050Z</dcterms:created>
  <dcterms:modified xsi:type="dcterms:W3CDTF">2026-09-02T06:12:40.050Z</dcterms:modified>
</cp:coreProperties>
</file>

<file path=docProps/custom.xml><?xml version="1.0" encoding="utf-8"?>
<Properties xmlns="http://schemas.openxmlformats.org/officeDocument/2006/custom-properties" xmlns:vt="http://schemas.openxmlformats.org/officeDocument/2006/docPropsVTypes"/>
</file>