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44"/>
          <w:szCs w:val="44"/>
        </w:rPr>
        <w:t xml:space="preserve">Disease Prediction System</w:t>
      </w:r>
    </w:p>
    <w:p>
      <w:pPr>
        <w:spacing w:after="600"/>
        <w:jc w:val="center"/>
      </w:pPr>
      <w:r>
        <w:rPr>
          <w:i/>
          <w:iCs/>
          <w:color w:val="555555"/>
          <w:sz w:val="28"/>
          <w:szCs w:val="28"/>
        </w:rPr>
        <w:t xml:space="preserve">Week 4: Machine Learning Model Selection and Evaluation Plan</w:t>
      </w:r>
    </w:p>
    <w:p>
      <w:pPr>
        <w:spacing w:after="100"/>
        <w:jc w:val="center"/>
      </w:pPr>
      <w:r>
        <w:rPr>
          <w:sz w:val="22"/>
          <w:szCs w:val="22"/>
        </w:rPr>
        <w:t xml:space="preserve">Virtual Data Science Apprentice – Python Specialist Intern</w:t>
      </w:r>
    </w:p>
    <w:p>
      <w:pPr>
        <w:spacing w:after="100"/>
        <w:jc w:val="center"/>
      </w:pPr>
      <w:r>
        <w:rPr>
          <w:sz w:val="22"/>
          <w:szCs w:val="22"/>
        </w:rPr>
        <w:t xml:space="preserve">NSDC YuvaIntern Program</w:t>
      </w:r>
    </w:p>
    <w:p>
      <w:pPr>
        <w:spacing w:after="100"/>
        <w:jc w:val="center"/>
      </w:pPr>
      <w:r>
        <w:rPr>
          <w:sz w:val="22"/>
          <w:szCs w:val="22"/>
        </w:rPr>
        <w:t xml:space="preserve">Submission Date: Week 4</w:t>
      </w:r>
    </w:p>
    <w:p>
      <w:pPr>
        <w:pageBreakBefore/>
      </w:pPr>
    </w:p>
    <w:p>
      <w:pPr>
        <w:pStyle w:val="Heading1"/>
        <w:spacing w:after="150" w:before="300"/>
      </w:pPr>
      <w:r>
        <w:rPr>
          <w:b/>
          <w:bCs/>
          <w:color w:val="1F4E79"/>
        </w:rPr>
        <w:t xml:space="preserve">1. Introduction</w:t>
      </w:r>
    </w:p>
    <w:p>
      <w:pPr>
        <w:spacing w:after="150"/>
      </w:pPr>
      <w:r>
        <w:t xml:space="preserve">This document presents the machine learning model selection and evaluation plan for the Disease Prediction System project, the final deliverable of the four-week internship. Building on the cleaned dataset (Week 2) and the insights and shortlisted features from the exploratory analysis (Week 3), this plan defines which classification algorithms will be trained and compared, the criteria used to select among them, the evaluation metrics that will judge their performance, and the validation strategy that will ensure the chosen model generalises well to unseen patients.</w:t>
      </w:r>
    </w:p>
    <w:p>
      <w:pPr>
        <w:pStyle w:val="Heading1"/>
        <w:spacing w:after="150" w:before="300"/>
      </w:pPr>
      <w:r>
        <w:rPr>
          <w:b/>
          <w:bCs/>
          <w:color w:val="1F4E79"/>
        </w:rPr>
        <w:t xml:space="preserve">2. Diversity of Machine Learning Approaches</w:t>
      </w:r>
    </w:p>
    <w:p>
      <w:pPr>
        <w:spacing w:after="150"/>
      </w:pPr>
      <w:r>
        <w:t xml:space="preserve">Disease prediction from clinical data is a supervised binary classification problem (Outcome: diabetic vs. non-diabetic). A range of algorithms with different underlying assumptions and complexity levels will be evaluated so that the final choice is backed by empirical comparison rather than a single default assumption.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gridCol w:w="2000"/>
      </w:tblGrid>
      <w:tr>
        <w:trPr>
          <w:tblHeader/>
        </w:trPr>
        <w:tc>
          <w:tcPr>
            <w:tcW w:type="dxa" w:w="2200"/>
            <w:shd w:fill="1F4E79" w:val="clear"/>
            <w:tcMar>
              <w:top w:type="dxa" w:w="80"/>
              <w:left w:type="dxa" w:w="100"/>
              <w:bottom w:type="dxa" w:w="80"/>
              <w:right w:type="dxa" w:w="100"/>
            </w:tcMar>
          </w:tcPr>
          <w:p>
            <w:r>
              <w:rPr>
                <w:b/>
                <w:bCs/>
                <w:color w:val="FFFFFF"/>
                <w:sz w:val="20"/>
                <w:szCs w:val="20"/>
              </w:rPr>
              <w:t xml:space="preserve">Model</w:t>
            </w:r>
          </w:p>
        </w:tc>
        <w:tc>
          <w:tcPr>
            <w:tcW w:type="dxa" w:w="3000"/>
            <w:shd w:fill="1F4E79" w:val="clear"/>
            <w:tcMar>
              <w:top w:type="dxa" w:w="80"/>
              <w:left w:type="dxa" w:w="100"/>
              <w:bottom w:type="dxa" w:w="80"/>
              <w:right w:type="dxa" w:w="100"/>
            </w:tcMar>
          </w:tcPr>
          <w:p>
            <w:r>
              <w:rPr>
                <w:b/>
                <w:bCs/>
                <w:color w:val="FFFFFF"/>
                <w:sz w:val="20"/>
                <w:szCs w:val="20"/>
              </w:rPr>
              <w:t xml:space="preserve">Strengths</w:t>
            </w:r>
          </w:p>
        </w:tc>
        <w:tc>
          <w:tcPr>
            <w:tcW w:type="dxa" w:w="3000"/>
            <w:shd w:fill="1F4E79" w:val="clear"/>
            <w:tcMar>
              <w:top w:type="dxa" w:w="80"/>
              <w:left w:type="dxa" w:w="100"/>
              <w:bottom w:type="dxa" w:w="80"/>
              <w:right w:type="dxa" w:w="100"/>
            </w:tcMar>
          </w:tcPr>
          <w:p>
            <w:r>
              <w:rPr>
                <w:b/>
                <w:bCs/>
                <w:color w:val="FFFFFF"/>
                <w:sz w:val="20"/>
                <w:szCs w:val="20"/>
              </w:rPr>
              <w:t xml:space="preserve">Weaknesses</w:t>
            </w:r>
          </w:p>
        </w:tc>
        <w:tc>
          <w:tcPr>
            <w:tcW w:type="dxa" w:w="2000"/>
            <w:shd w:fill="1F4E79" w:val="clear"/>
            <w:tcMar>
              <w:top w:type="dxa" w:w="80"/>
              <w:left w:type="dxa" w:w="100"/>
              <w:bottom w:type="dxa" w:w="80"/>
              <w:right w:type="dxa" w:w="100"/>
            </w:tcMar>
          </w:tcPr>
          <w:p>
            <w:r>
              <w:rPr>
                <w:b/>
                <w:bCs/>
                <w:color w:val="FFFFFF"/>
                <w:sz w:val="20"/>
                <w:szCs w:val="20"/>
              </w:rPr>
              <w:t xml:space="preserve">Role in This Project</w:t>
            </w:r>
          </w:p>
        </w:tc>
      </w:tr>
      <w:tr>
        <w:tc>
          <w:tcPr>
            <w:tcW w:type="dxa" w:w="2200"/>
            <w:shd w:fill="FFFFFF" w:val="clear"/>
            <w:tcMar>
              <w:top w:type="dxa" w:w="80"/>
              <w:left w:type="dxa" w:w="100"/>
              <w:bottom w:type="dxa" w:w="80"/>
              <w:right w:type="dxa" w:w="100"/>
            </w:tcMar>
          </w:tcPr>
          <w:p>
            <w:r>
              <w:rPr>
                <w:sz w:val="20"/>
                <w:szCs w:val="20"/>
              </w:rPr>
              <w:t xml:space="preserve">Logistic Regression</w:t>
            </w:r>
          </w:p>
        </w:tc>
        <w:tc>
          <w:tcPr>
            <w:tcW w:type="dxa" w:w="3000"/>
            <w:shd w:fill="FFFFFF" w:val="clear"/>
            <w:tcMar>
              <w:top w:type="dxa" w:w="80"/>
              <w:left w:type="dxa" w:w="100"/>
              <w:bottom w:type="dxa" w:w="80"/>
              <w:right w:type="dxa" w:w="100"/>
            </w:tcMar>
          </w:tcPr>
          <w:p>
            <w:r>
              <w:rPr>
                <w:sz w:val="20"/>
                <w:szCs w:val="20"/>
              </w:rPr>
              <w:t xml:space="preserve">Simple, highly interpretable, coefficients indicate feature influence, fast to train</w:t>
            </w:r>
          </w:p>
        </w:tc>
        <w:tc>
          <w:tcPr>
            <w:tcW w:type="dxa" w:w="3000"/>
            <w:shd w:fill="FFFFFF" w:val="clear"/>
            <w:tcMar>
              <w:top w:type="dxa" w:w="80"/>
              <w:left w:type="dxa" w:w="100"/>
              <w:bottom w:type="dxa" w:w="80"/>
              <w:right w:type="dxa" w:w="100"/>
            </w:tcMar>
          </w:tcPr>
          <w:p>
            <w:r>
              <w:rPr>
                <w:sz w:val="20"/>
                <w:szCs w:val="20"/>
              </w:rPr>
              <w:t xml:space="preserve">Assumes linear decision boundary; may underfit complex relationships</w:t>
            </w:r>
          </w:p>
        </w:tc>
        <w:tc>
          <w:tcPr>
            <w:tcW w:type="dxa" w:w="2000"/>
            <w:shd w:fill="FFFFFF" w:val="clear"/>
            <w:tcMar>
              <w:top w:type="dxa" w:w="80"/>
              <w:left w:type="dxa" w:w="100"/>
              <w:bottom w:type="dxa" w:w="80"/>
              <w:right w:type="dxa" w:w="100"/>
            </w:tcMar>
          </w:tcPr>
          <w:p>
            <w:r>
              <w:rPr>
                <w:sz w:val="20"/>
                <w:szCs w:val="20"/>
              </w:rPr>
              <w:t xml:space="preserve">Baseline model</w:t>
            </w:r>
          </w:p>
        </w:tc>
      </w:tr>
      <w:tr>
        <w:tc>
          <w:tcPr>
            <w:tcW w:type="dxa" w:w="2200"/>
            <w:shd w:fill="DDEBF7" w:val="clear"/>
            <w:tcMar>
              <w:top w:type="dxa" w:w="80"/>
              <w:left w:type="dxa" w:w="100"/>
              <w:bottom w:type="dxa" w:w="80"/>
              <w:right w:type="dxa" w:w="100"/>
            </w:tcMar>
          </w:tcPr>
          <w:p>
            <w:r>
              <w:rPr>
                <w:sz w:val="20"/>
                <w:szCs w:val="20"/>
              </w:rPr>
              <w:t xml:space="preserve">Decision Tree</w:t>
            </w:r>
          </w:p>
        </w:tc>
        <w:tc>
          <w:tcPr>
            <w:tcW w:type="dxa" w:w="3000"/>
            <w:shd w:fill="DDEBF7" w:val="clear"/>
            <w:tcMar>
              <w:top w:type="dxa" w:w="80"/>
              <w:left w:type="dxa" w:w="100"/>
              <w:bottom w:type="dxa" w:w="80"/>
              <w:right w:type="dxa" w:w="100"/>
            </w:tcMar>
          </w:tcPr>
          <w:p>
            <w:r>
              <w:rPr>
                <w:sz w:val="20"/>
                <w:szCs w:val="20"/>
              </w:rPr>
              <w:t xml:space="preserve">Easy to visualise and explain; handles non-linear relationships and mixed feature types</w:t>
            </w:r>
          </w:p>
        </w:tc>
        <w:tc>
          <w:tcPr>
            <w:tcW w:type="dxa" w:w="3000"/>
            <w:shd w:fill="DDEBF7" w:val="clear"/>
            <w:tcMar>
              <w:top w:type="dxa" w:w="80"/>
              <w:left w:type="dxa" w:w="100"/>
              <w:bottom w:type="dxa" w:w="80"/>
              <w:right w:type="dxa" w:w="100"/>
            </w:tcMar>
          </w:tcPr>
          <w:p>
            <w:r>
              <w:rPr>
                <w:sz w:val="20"/>
                <w:szCs w:val="20"/>
              </w:rPr>
              <w:t xml:space="preserve">Prone to overfitting on small datasets; unstable to small data changes</w:t>
            </w:r>
          </w:p>
        </w:tc>
        <w:tc>
          <w:tcPr>
            <w:tcW w:type="dxa" w:w="2000"/>
            <w:shd w:fill="DDEBF7" w:val="clear"/>
            <w:tcMar>
              <w:top w:type="dxa" w:w="80"/>
              <w:left w:type="dxa" w:w="100"/>
              <w:bottom w:type="dxa" w:w="80"/>
              <w:right w:type="dxa" w:w="100"/>
            </w:tcMar>
          </w:tcPr>
          <w:p>
            <w:r>
              <w:rPr>
                <w:sz w:val="20"/>
                <w:szCs w:val="20"/>
              </w:rPr>
              <w:t xml:space="preserve">Interpretability check</w:t>
            </w:r>
          </w:p>
        </w:tc>
      </w:tr>
      <w:tr>
        <w:tc>
          <w:tcPr>
            <w:tcW w:type="dxa" w:w="2200"/>
            <w:shd w:fill="FFFFFF" w:val="clear"/>
            <w:tcMar>
              <w:top w:type="dxa" w:w="80"/>
              <w:left w:type="dxa" w:w="100"/>
              <w:bottom w:type="dxa" w:w="80"/>
              <w:right w:type="dxa" w:w="100"/>
            </w:tcMar>
          </w:tcPr>
          <w:p>
            <w:r>
              <w:rPr>
                <w:sz w:val="20"/>
                <w:szCs w:val="20"/>
              </w:rPr>
              <w:t xml:space="preserve">Random Forest</w:t>
            </w:r>
          </w:p>
        </w:tc>
        <w:tc>
          <w:tcPr>
            <w:tcW w:type="dxa" w:w="3000"/>
            <w:shd w:fill="FFFFFF" w:val="clear"/>
            <w:tcMar>
              <w:top w:type="dxa" w:w="80"/>
              <w:left w:type="dxa" w:w="100"/>
              <w:bottom w:type="dxa" w:w="80"/>
              <w:right w:type="dxa" w:w="100"/>
            </w:tcMar>
          </w:tcPr>
          <w:p>
            <w:r>
              <w:rPr>
                <w:sz w:val="20"/>
                <w:szCs w:val="20"/>
              </w:rPr>
              <w:t xml:space="preserve">Ensemble of trees reduces overfitting; strong out-of-the-box performance; provides feature importance</w:t>
            </w:r>
          </w:p>
        </w:tc>
        <w:tc>
          <w:tcPr>
            <w:tcW w:type="dxa" w:w="3000"/>
            <w:shd w:fill="FFFFFF" w:val="clear"/>
            <w:tcMar>
              <w:top w:type="dxa" w:w="80"/>
              <w:left w:type="dxa" w:w="100"/>
              <w:bottom w:type="dxa" w:w="80"/>
              <w:right w:type="dxa" w:w="100"/>
            </w:tcMar>
          </w:tcPr>
          <w:p>
            <w:r>
              <w:rPr>
                <w:sz w:val="20"/>
                <w:szCs w:val="20"/>
              </w:rPr>
              <w:t xml:space="preserve">Less interpretable than a single tree; more computationally expensive</w:t>
            </w:r>
          </w:p>
        </w:tc>
        <w:tc>
          <w:tcPr>
            <w:tcW w:type="dxa" w:w="2000"/>
            <w:shd w:fill="FFFFFF" w:val="clear"/>
            <w:tcMar>
              <w:top w:type="dxa" w:w="80"/>
              <w:left w:type="dxa" w:w="100"/>
              <w:bottom w:type="dxa" w:w="80"/>
              <w:right w:type="dxa" w:w="100"/>
            </w:tcMar>
          </w:tcPr>
          <w:p>
            <w:r>
              <w:rPr>
                <w:sz w:val="20"/>
                <w:szCs w:val="20"/>
              </w:rPr>
              <w:t xml:space="preserve">Primary candidate</w:t>
            </w:r>
          </w:p>
        </w:tc>
      </w:tr>
      <w:tr>
        <w:tc>
          <w:tcPr>
            <w:tcW w:type="dxa" w:w="2200"/>
            <w:shd w:fill="DDEBF7" w:val="clear"/>
            <w:tcMar>
              <w:top w:type="dxa" w:w="80"/>
              <w:left w:type="dxa" w:w="100"/>
              <w:bottom w:type="dxa" w:w="80"/>
              <w:right w:type="dxa" w:w="100"/>
            </w:tcMar>
          </w:tcPr>
          <w:p>
            <w:r>
              <w:rPr>
                <w:sz w:val="20"/>
                <w:szCs w:val="20"/>
              </w:rPr>
              <w:t xml:space="preserve">Support Vector Machine (SVM)</w:t>
            </w:r>
          </w:p>
        </w:tc>
        <w:tc>
          <w:tcPr>
            <w:tcW w:type="dxa" w:w="3000"/>
            <w:shd w:fill="DDEBF7" w:val="clear"/>
            <w:tcMar>
              <w:top w:type="dxa" w:w="80"/>
              <w:left w:type="dxa" w:w="100"/>
              <w:bottom w:type="dxa" w:w="80"/>
              <w:right w:type="dxa" w:w="100"/>
            </w:tcMar>
          </w:tcPr>
          <w:p>
            <w:r>
              <w:rPr>
                <w:sz w:val="20"/>
                <w:szCs w:val="20"/>
              </w:rPr>
              <w:t xml:space="preserve">Effective in higher-dimensional feature space; robust with clear margin of separation</w:t>
            </w:r>
          </w:p>
        </w:tc>
        <w:tc>
          <w:tcPr>
            <w:tcW w:type="dxa" w:w="3000"/>
            <w:shd w:fill="DDEBF7" w:val="clear"/>
            <w:tcMar>
              <w:top w:type="dxa" w:w="80"/>
              <w:left w:type="dxa" w:w="100"/>
              <w:bottom w:type="dxa" w:w="80"/>
              <w:right w:type="dxa" w:w="100"/>
            </w:tcMar>
          </w:tcPr>
          <w:p>
            <w:r>
              <w:rPr>
                <w:sz w:val="20"/>
                <w:szCs w:val="20"/>
              </w:rPr>
              <w:t xml:space="preserve">Sensitive to feature scaling; less interpretable; slower on larger data</w:t>
            </w:r>
          </w:p>
        </w:tc>
        <w:tc>
          <w:tcPr>
            <w:tcW w:type="dxa" w:w="2000"/>
            <w:shd w:fill="DDEBF7" w:val="clear"/>
            <w:tcMar>
              <w:top w:type="dxa" w:w="80"/>
              <w:left w:type="dxa" w:w="100"/>
              <w:bottom w:type="dxa" w:w="80"/>
              <w:right w:type="dxa" w:w="100"/>
            </w:tcMar>
          </w:tcPr>
          <w:p>
            <w:r>
              <w:rPr>
                <w:sz w:val="20"/>
                <w:szCs w:val="20"/>
              </w:rPr>
              <w:t xml:space="preserve">Alternative candidate</w:t>
            </w:r>
          </w:p>
        </w:tc>
      </w:tr>
      <w:tr>
        <w:tc>
          <w:tcPr>
            <w:tcW w:type="dxa" w:w="2200"/>
            <w:shd w:fill="FFFFFF" w:val="clear"/>
            <w:tcMar>
              <w:top w:type="dxa" w:w="80"/>
              <w:left w:type="dxa" w:w="100"/>
              <w:bottom w:type="dxa" w:w="80"/>
              <w:right w:type="dxa" w:w="100"/>
            </w:tcMar>
          </w:tcPr>
          <w:p>
            <w:r>
              <w:rPr>
                <w:sz w:val="20"/>
                <w:szCs w:val="20"/>
              </w:rPr>
              <w:t xml:space="preserve">K-Nearest Neighbours (KNN)</w:t>
            </w:r>
          </w:p>
        </w:tc>
        <w:tc>
          <w:tcPr>
            <w:tcW w:type="dxa" w:w="3000"/>
            <w:shd w:fill="FFFFFF" w:val="clear"/>
            <w:tcMar>
              <w:top w:type="dxa" w:w="80"/>
              <w:left w:type="dxa" w:w="100"/>
              <w:bottom w:type="dxa" w:w="80"/>
              <w:right w:type="dxa" w:w="100"/>
            </w:tcMar>
          </w:tcPr>
          <w:p>
            <w:r>
              <w:rPr>
                <w:sz w:val="20"/>
                <w:szCs w:val="20"/>
              </w:rPr>
              <w:t xml:space="preserve">Simple, non-parametric, no training phase</w:t>
            </w:r>
          </w:p>
        </w:tc>
        <w:tc>
          <w:tcPr>
            <w:tcW w:type="dxa" w:w="3000"/>
            <w:shd w:fill="FFFFFF" w:val="clear"/>
            <w:tcMar>
              <w:top w:type="dxa" w:w="80"/>
              <w:left w:type="dxa" w:w="100"/>
              <w:bottom w:type="dxa" w:w="80"/>
              <w:right w:type="dxa" w:w="100"/>
            </w:tcMar>
          </w:tcPr>
          <w:p>
            <w:r>
              <w:rPr>
                <w:sz w:val="20"/>
                <w:szCs w:val="20"/>
              </w:rPr>
              <w:t xml:space="preserve">Sensitive to feature scaling and irrelevant features; slow at prediction time on large data</w:t>
            </w:r>
          </w:p>
        </w:tc>
        <w:tc>
          <w:tcPr>
            <w:tcW w:type="dxa" w:w="2000"/>
            <w:shd w:fill="FFFFFF" w:val="clear"/>
            <w:tcMar>
              <w:top w:type="dxa" w:w="80"/>
              <w:left w:type="dxa" w:w="100"/>
              <w:bottom w:type="dxa" w:w="80"/>
              <w:right w:type="dxa" w:w="100"/>
            </w:tcMar>
          </w:tcPr>
          <w:p>
            <w:r>
              <w:rPr>
                <w:sz w:val="20"/>
                <w:szCs w:val="20"/>
              </w:rPr>
              <w:t xml:space="preserve">Benchmark comparison</w:t>
            </w:r>
          </w:p>
        </w:tc>
      </w:tr>
      <w:tr>
        <w:tc>
          <w:tcPr>
            <w:tcW w:type="dxa" w:w="2200"/>
            <w:shd w:fill="DDEBF7" w:val="clear"/>
            <w:tcMar>
              <w:top w:type="dxa" w:w="80"/>
              <w:left w:type="dxa" w:w="100"/>
              <w:bottom w:type="dxa" w:w="80"/>
              <w:right w:type="dxa" w:w="100"/>
            </w:tcMar>
          </w:tcPr>
          <w:p>
            <w:r>
              <w:rPr>
                <w:sz w:val="20"/>
                <w:szCs w:val="20"/>
              </w:rPr>
              <w:t xml:space="preserve">Gradient Boosting (XGBoost / LightGBM)</w:t>
            </w:r>
          </w:p>
        </w:tc>
        <w:tc>
          <w:tcPr>
            <w:tcW w:type="dxa" w:w="3000"/>
            <w:shd w:fill="DDEBF7" w:val="clear"/>
            <w:tcMar>
              <w:top w:type="dxa" w:w="80"/>
              <w:left w:type="dxa" w:w="100"/>
              <w:bottom w:type="dxa" w:w="80"/>
              <w:right w:type="dxa" w:w="100"/>
            </w:tcMar>
          </w:tcPr>
          <w:p>
            <w:r>
              <w:rPr>
                <w:sz w:val="20"/>
                <w:szCs w:val="20"/>
              </w:rPr>
              <w:t xml:space="preserve">Often achieves the highest predictive accuracy; handles non-linear interactions well</w:t>
            </w:r>
          </w:p>
        </w:tc>
        <w:tc>
          <w:tcPr>
            <w:tcW w:type="dxa" w:w="3000"/>
            <w:shd w:fill="DDEBF7" w:val="clear"/>
            <w:tcMar>
              <w:top w:type="dxa" w:w="80"/>
              <w:left w:type="dxa" w:w="100"/>
              <w:bottom w:type="dxa" w:w="80"/>
              <w:right w:type="dxa" w:w="100"/>
            </w:tcMar>
          </w:tcPr>
          <w:p>
            <w:r>
              <w:rPr>
                <w:sz w:val="20"/>
                <w:szCs w:val="20"/>
              </w:rPr>
              <w:t xml:space="preserve">More hyperparameters to tune; higher risk of overfitting without care; less interpretable</w:t>
            </w:r>
          </w:p>
        </w:tc>
        <w:tc>
          <w:tcPr>
            <w:tcW w:type="dxa" w:w="2000"/>
            <w:shd w:fill="DDEBF7" w:val="clear"/>
            <w:tcMar>
              <w:top w:type="dxa" w:w="80"/>
              <w:left w:type="dxa" w:w="100"/>
              <w:bottom w:type="dxa" w:w="80"/>
              <w:right w:type="dxa" w:w="100"/>
            </w:tcMar>
          </w:tcPr>
          <w:p>
            <w:r>
              <w:rPr>
                <w:sz w:val="20"/>
                <w:szCs w:val="20"/>
              </w:rPr>
              <w:t xml:space="preserve">High-performance candidate</w:t>
            </w:r>
          </w:p>
        </w:tc>
      </w:tr>
      <w:tr>
        <w:tc>
          <w:tcPr>
            <w:tcW w:type="dxa" w:w="2200"/>
            <w:shd w:fill="FFFFFF" w:val="clear"/>
            <w:tcMar>
              <w:top w:type="dxa" w:w="80"/>
              <w:left w:type="dxa" w:w="100"/>
              <w:bottom w:type="dxa" w:w="80"/>
              <w:right w:type="dxa" w:w="100"/>
            </w:tcMar>
          </w:tcPr>
          <w:p>
            <w:r>
              <w:rPr>
                <w:sz w:val="20"/>
                <w:szCs w:val="20"/>
              </w:rPr>
              <w:t xml:space="preserve">Neural Network (MLP)</w:t>
            </w:r>
          </w:p>
        </w:tc>
        <w:tc>
          <w:tcPr>
            <w:tcW w:type="dxa" w:w="3000"/>
            <w:shd w:fill="FFFFFF" w:val="clear"/>
            <w:tcMar>
              <w:top w:type="dxa" w:w="80"/>
              <w:left w:type="dxa" w:w="100"/>
              <w:bottom w:type="dxa" w:w="80"/>
              <w:right w:type="dxa" w:w="100"/>
            </w:tcMar>
          </w:tcPr>
          <w:p>
            <w:r>
              <w:rPr>
                <w:sz w:val="20"/>
                <w:szCs w:val="20"/>
              </w:rPr>
              <w:t xml:space="preserve">Can model complex non-linear relationships</w:t>
            </w:r>
          </w:p>
        </w:tc>
        <w:tc>
          <w:tcPr>
            <w:tcW w:type="dxa" w:w="3000"/>
            <w:shd w:fill="FFFFFF" w:val="clear"/>
            <w:tcMar>
              <w:top w:type="dxa" w:w="80"/>
              <w:left w:type="dxa" w:w="100"/>
              <w:bottom w:type="dxa" w:w="80"/>
              <w:right w:type="dxa" w:w="100"/>
            </w:tcMar>
          </w:tcPr>
          <w:p>
            <w:r>
              <w:rPr>
                <w:sz w:val="20"/>
                <w:szCs w:val="20"/>
              </w:rPr>
              <w:t xml:space="preserve">Requires more data to avoid overfitting; least interpretable; needs careful tuning</w:t>
            </w:r>
          </w:p>
        </w:tc>
        <w:tc>
          <w:tcPr>
            <w:tcW w:type="dxa" w:w="2000"/>
            <w:shd w:fill="FFFFFF" w:val="clear"/>
            <w:tcMar>
              <w:top w:type="dxa" w:w="80"/>
              <w:left w:type="dxa" w:w="100"/>
              <w:bottom w:type="dxa" w:w="80"/>
              <w:right w:type="dxa" w:w="100"/>
            </w:tcMar>
          </w:tcPr>
          <w:p>
            <w:r>
              <w:rPr>
                <w:sz w:val="20"/>
                <w:szCs w:val="20"/>
              </w:rPr>
              <w:t xml:space="preserve">Exploratory / stretch goal</w:t>
            </w:r>
          </w:p>
        </w:tc>
      </w:tr>
    </w:tbl>
    <w:p>
      <w:pPr>
        <w:pStyle w:val="Heading1"/>
        <w:spacing w:after="150" w:before="300"/>
      </w:pPr>
      <w:r>
        <w:rPr>
          <w:b/>
          <w:bCs/>
          <w:color w:val="1F4E79"/>
        </w:rPr>
        <w:t xml:space="preserve">3. Model Selection Criteria</w:t>
      </w:r>
    </w:p>
    <w:p>
      <w:pPr>
        <w:pStyle w:val="ListParagraph"/>
        <w:numPr>
          <w:ilvl w:val="0"/>
          <w:numId w:val="2"/>
        </w:numPr>
        <w:spacing w:after="80"/>
      </w:pPr>
      <w:r>
        <w:t xml:space="preserve">Predictive performance – measured primarily via cross-validated F1-score and ROC-AUC, given the class imbalance.</w:t>
      </w:r>
    </w:p>
    <w:p>
      <w:pPr>
        <w:pStyle w:val="ListParagraph"/>
        <w:numPr>
          <w:ilvl w:val="0"/>
          <w:numId w:val="2"/>
        </w:numPr>
        <w:spacing w:after="80"/>
      </w:pPr>
      <w:r>
        <w:t xml:space="preserve">Interpretability – particularly important in a healthcare context, where understanding why a prediction was made matters as much as the prediction itself.</w:t>
      </w:r>
    </w:p>
    <w:p>
      <w:pPr>
        <w:pStyle w:val="ListParagraph"/>
        <w:numPr>
          <w:ilvl w:val="0"/>
          <w:numId w:val="2"/>
        </w:numPr>
        <w:spacing w:after="80"/>
      </w:pPr>
      <w:r>
        <w:t xml:space="preserve">Training and inference speed – relevant given the modest dataset size and internship time constraints.</w:t>
      </w:r>
    </w:p>
    <w:p>
      <w:pPr>
        <w:pStyle w:val="ListParagraph"/>
        <w:numPr>
          <w:ilvl w:val="0"/>
          <w:numId w:val="2"/>
        </w:numPr>
        <w:spacing w:after="80"/>
      </w:pPr>
      <w:r>
        <w:t xml:space="preserve">Robustness to overfitting – assessed via the gap between training and validation performance.</w:t>
      </w:r>
    </w:p>
    <w:p>
      <w:pPr>
        <w:pStyle w:val="ListParagraph"/>
        <w:numPr>
          <w:ilvl w:val="0"/>
          <w:numId w:val="2"/>
        </w:numPr>
        <w:spacing w:after="80"/>
      </w:pPr>
      <w:r>
        <w:t xml:space="preserve">Sensitivity to data assumptions – e.g., feature scaling requirements, linearity assumptions.</w:t>
      </w:r>
    </w:p>
    <w:p>
      <w:pPr>
        <w:pStyle w:val="Heading1"/>
        <w:spacing w:after="150" w:before="300"/>
      </w:pPr>
      <w:r>
        <w:rPr>
          <w:b/>
          <w:bCs/>
          <w:color w:val="1F4E79"/>
        </w:rPr>
        <w:t xml:space="preserve">4. Evaluation Metrics</w:t>
      </w:r>
    </w:p>
    <w:p>
      <w:pPr>
        <w:spacing w:after="150"/>
      </w:pPr>
      <w:r>
        <w:t xml:space="preserve">Because the dataset exhibits class imbalance (~65% non-diabetic vs. 35% diabetic), accuracy alone would be a misleading metric — a naive model predicting the majority class for every patient would still achieve ~65% accuracy. Therefore, a broader set of metrics will be used: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rPr>
          <w:tblHeader/>
        </w:trPr>
        <w:tc>
          <w:tcPr>
            <w:tcW w:type="dxa" w:w="1800"/>
            <w:shd w:fill="1F4E79" w:val="clear"/>
            <w:tcMar>
              <w:top w:type="dxa" w:w="80"/>
              <w:left w:type="dxa" w:w="100"/>
              <w:bottom w:type="dxa" w:w="80"/>
              <w:right w:type="dxa" w:w="100"/>
            </w:tcMar>
          </w:tcPr>
          <w:p>
            <w:r>
              <w:rPr>
                <w:b/>
                <w:bCs/>
                <w:color w:val="FFFFFF"/>
                <w:sz w:val="20"/>
                <w:szCs w:val="20"/>
              </w:rPr>
              <w:t xml:space="preserve">Metric</w:t>
            </w:r>
          </w:p>
        </w:tc>
        <w:tc>
          <w:tcPr>
            <w:tcW w:type="dxa" w:w="3600"/>
            <w:shd w:fill="1F4E79" w:val="clear"/>
            <w:tcMar>
              <w:top w:type="dxa" w:w="80"/>
              <w:left w:type="dxa" w:w="100"/>
              <w:bottom w:type="dxa" w:w="80"/>
              <w:right w:type="dxa" w:w="100"/>
            </w:tcMar>
          </w:tcPr>
          <w:p>
            <w:r>
              <w:rPr>
                <w:b/>
                <w:bCs/>
                <w:color w:val="FFFFFF"/>
                <w:sz w:val="20"/>
                <w:szCs w:val="20"/>
              </w:rPr>
              <w:t xml:space="preserve">Definition</w:t>
            </w:r>
          </w:p>
        </w:tc>
        <w:tc>
          <w:tcPr>
            <w:tcW w:type="dxa" w:w="3800"/>
            <w:shd w:fill="1F4E79" w:val="clear"/>
            <w:tcMar>
              <w:top w:type="dxa" w:w="80"/>
              <w:left w:type="dxa" w:w="100"/>
              <w:bottom w:type="dxa" w:w="80"/>
              <w:right w:type="dxa" w:w="100"/>
            </w:tcMar>
          </w:tcPr>
          <w:p>
            <w:r>
              <w:rPr>
                <w:b/>
                <w:bCs/>
                <w:color w:val="FFFFFF"/>
                <w:sz w:val="20"/>
                <w:szCs w:val="20"/>
              </w:rPr>
              <w:t xml:space="preserve">Rationale</w:t>
            </w:r>
          </w:p>
        </w:tc>
      </w:tr>
      <w:tr>
        <w:tc>
          <w:tcPr>
            <w:tcW w:type="dxa" w:w="1800"/>
            <w:shd w:fill="FFFFFF" w:val="clear"/>
            <w:tcMar>
              <w:top w:type="dxa" w:w="80"/>
              <w:left w:type="dxa" w:w="100"/>
              <w:bottom w:type="dxa" w:w="80"/>
              <w:right w:type="dxa" w:w="100"/>
            </w:tcMar>
          </w:tcPr>
          <w:p>
            <w:r>
              <w:rPr>
                <w:sz w:val="20"/>
                <w:szCs w:val="20"/>
              </w:rPr>
              <w:t xml:space="preserve">Accuracy</w:t>
            </w:r>
          </w:p>
        </w:tc>
        <w:tc>
          <w:tcPr>
            <w:tcW w:type="dxa" w:w="3600"/>
            <w:shd w:fill="FFFFFF" w:val="clear"/>
            <w:tcMar>
              <w:top w:type="dxa" w:w="80"/>
              <w:left w:type="dxa" w:w="100"/>
              <w:bottom w:type="dxa" w:w="80"/>
              <w:right w:type="dxa" w:w="100"/>
            </w:tcMar>
          </w:tcPr>
          <w:p>
            <w:r>
              <w:rPr>
                <w:sz w:val="20"/>
                <w:szCs w:val="20"/>
              </w:rPr>
              <w:t xml:space="preserve">Overall proportion of correct predictions</w:t>
            </w:r>
          </w:p>
        </w:tc>
        <w:tc>
          <w:tcPr>
            <w:tcW w:type="dxa" w:w="3800"/>
            <w:shd w:fill="FFFFFF" w:val="clear"/>
            <w:tcMar>
              <w:top w:type="dxa" w:w="80"/>
              <w:left w:type="dxa" w:w="100"/>
              <w:bottom w:type="dxa" w:w="80"/>
              <w:right w:type="dxa" w:w="100"/>
            </w:tcMar>
          </w:tcPr>
          <w:p>
            <w:r>
              <w:rPr>
                <w:sz w:val="20"/>
                <w:szCs w:val="20"/>
              </w:rPr>
              <w:t xml:space="preserve">Useful as a general reference, but insufficient alone due to class imbalance</w:t>
            </w:r>
          </w:p>
        </w:tc>
      </w:tr>
      <w:tr>
        <w:tc>
          <w:tcPr>
            <w:tcW w:type="dxa" w:w="1800"/>
            <w:shd w:fill="DDEBF7" w:val="clear"/>
            <w:tcMar>
              <w:top w:type="dxa" w:w="80"/>
              <w:left w:type="dxa" w:w="100"/>
              <w:bottom w:type="dxa" w:w="80"/>
              <w:right w:type="dxa" w:w="100"/>
            </w:tcMar>
          </w:tcPr>
          <w:p>
            <w:r>
              <w:rPr>
                <w:sz w:val="20"/>
                <w:szCs w:val="20"/>
              </w:rPr>
              <w:t xml:space="preserve">Precision</w:t>
            </w:r>
          </w:p>
        </w:tc>
        <w:tc>
          <w:tcPr>
            <w:tcW w:type="dxa" w:w="3600"/>
            <w:shd w:fill="DDEBF7" w:val="clear"/>
            <w:tcMar>
              <w:top w:type="dxa" w:w="80"/>
              <w:left w:type="dxa" w:w="100"/>
              <w:bottom w:type="dxa" w:w="80"/>
              <w:right w:type="dxa" w:w="100"/>
            </w:tcMar>
          </w:tcPr>
          <w:p>
            <w:r>
              <w:rPr>
                <w:sz w:val="20"/>
                <w:szCs w:val="20"/>
              </w:rPr>
              <w:t xml:space="preserve">Of all patients predicted diabetic, how many actually are</w:t>
            </w:r>
          </w:p>
        </w:tc>
        <w:tc>
          <w:tcPr>
            <w:tcW w:type="dxa" w:w="3800"/>
            <w:shd w:fill="DDEBF7" w:val="clear"/>
            <w:tcMar>
              <w:top w:type="dxa" w:w="80"/>
              <w:left w:type="dxa" w:w="100"/>
              <w:bottom w:type="dxa" w:w="80"/>
              <w:right w:type="dxa" w:w="100"/>
            </w:tcMar>
          </w:tcPr>
          <w:p>
            <w:r>
              <w:rPr>
                <w:sz w:val="20"/>
                <w:szCs w:val="20"/>
              </w:rPr>
              <w:t xml:space="preserve">Important to minimise false alarms that could cause unnecessary patient anxiety or cost</w:t>
            </w:r>
          </w:p>
        </w:tc>
      </w:tr>
      <w:tr>
        <w:tc>
          <w:tcPr>
            <w:tcW w:type="dxa" w:w="1800"/>
            <w:shd w:fill="FFFFFF" w:val="clear"/>
            <w:tcMar>
              <w:top w:type="dxa" w:w="80"/>
              <w:left w:type="dxa" w:w="100"/>
              <w:bottom w:type="dxa" w:w="80"/>
              <w:right w:type="dxa" w:w="100"/>
            </w:tcMar>
          </w:tcPr>
          <w:p>
            <w:r>
              <w:rPr>
                <w:sz w:val="20"/>
                <w:szCs w:val="20"/>
              </w:rPr>
              <w:t xml:space="preserve">Recall (Sensitivity)</w:t>
            </w:r>
          </w:p>
        </w:tc>
        <w:tc>
          <w:tcPr>
            <w:tcW w:type="dxa" w:w="3600"/>
            <w:shd w:fill="FFFFFF" w:val="clear"/>
            <w:tcMar>
              <w:top w:type="dxa" w:w="80"/>
              <w:left w:type="dxa" w:w="100"/>
              <w:bottom w:type="dxa" w:w="80"/>
              <w:right w:type="dxa" w:w="100"/>
            </w:tcMar>
          </w:tcPr>
          <w:p>
            <w:r>
              <w:rPr>
                <w:sz w:val="20"/>
                <w:szCs w:val="20"/>
              </w:rPr>
              <w:t xml:space="preserve">Of all actually diabetic patients, how many were correctly identified</w:t>
            </w:r>
          </w:p>
        </w:tc>
        <w:tc>
          <w:tcPr>
            <w:tcW w:type="dxa" w:w="3800"/>
            <w:shd w:fill="FFFFFF" w:val="clear"/>
            <w:tcMar>
              <w:top w:type="dxa" w:w="80"/>
              <w:left w:type="dxa" w:w="100"/>
              <w:bottom w:type="dxa" w:w="80"/>
              <w:right w:type="dxa" w:w="100"/>
            </w:tcMar>
          </w:tcPr>
          <w:p>
            <w:r>
              <w:rPr>
                <w:sz w:val="20"/>
                <w:szCs w:val="20"/>
              </w:rPr>
              <w:t xml:space="preserve">Critical in a medical context — missing a true positive (false negative) can delay treatment</w:t>
            </w:r>
          </w:p>
        </w:tc>
      </w:tr>
      <w:tr>
        <w:tc>
          <w:tcPr>
            <w:tcW w:type="dxa" w:w="1800"/>
            <w:shd w:fill="DDEBF7" w:val="clear"/>
            <w:tcMar>
              <w:top w:type="dxa" w:w="80"/>
              <w:left w:type="dxa" w:w="100"/>
              <w:bottom w:type="dxa" w:w="80"/>
              <w:right w:type="dxa" w:w="100"/>
            </w:tcMar>
          </w:tcPr>
          <w:p>
            <w:r>
              <w:rPr>
                <w:sz w:val="20"/>
                <w:szCs w:val="20"/>
              </w:rPr>
              <w:t xml:space="preserve">F1-Score</w:t>
            </w:r>
          </w:p>
        </w:tc>
        <w:tc>
          <w:tcPr>
            <w:tcW w:type="dxa" w:w="3600"/>
            <w:shd w:fill="DDEBF7" w:val="clear"/>
            <w:tcMar>
              <w:top w:type="dxa" w:w="80"/>
              <w:left w:type="dxa" w:w="100"/>
              <w:bottom w:type="dxa" w:w="80"/>
              <w:right w:type="dxa" w:w="100"/>
            </w:tcMar>
          </w:tcPr>
          <w:p>
            <w:r>
              <w:rPr>
                <w:sz w:val="20"/>
                <w:szCs w:val="20"/>
              </w:rPr>
              <w:t xml:space="preserve">Harmonic mean of precision and recall</w:t>
            </w:r>
          </w:p>
        </w:tc>
        <w:tc>
          <w:tcPr>
            <w:tcW w:type="dxa" w:w="3800"/>
            <w:shd w:fill="DDEBF7" w:val="clear"/>
            <w:tcMar>
              <w:top w:type="dxa" w:w="80"/>
              <w:left w:type="dxa" w:w="100"/>
              <w:bottom w:type="dxa" w:w="80"/>
              <w:right w:type="dxa" w:w="100"/>
            </w:tcMar>
          </w:tcPr>
          <w:p>
            <w:r>
              <w:rPr>
                <w:sz w:val="20"/>
                <w:szCs w:val="20"/>
              </w:rPr>
              <w:t xml:space="preserve">Balances the precision/recall trade-off; primary metric for model comparison</w:t>
            </w:r>
          </w:p>
        </w:tc>
      </w:tr>
      <w:tr>
        <w:tc>
          <w:tcPr>
            <w:tcW w:type="dxa" w:w="1800"/>
            <w:shd w:fill="FFFFFF" w:val="clear"/>
            <w:tcMar>
              <w:top w:type="dxa" w:w="80"/>
              <w:left w:type="dxa" w:w="100"/>
              <w:bottom w:type="dxa" w:w="80"/>
              <w:right w:type="dxa" w:w="100"/>
            </w:tcMar>
          </w:tcPr>
          <w:p>
            <w:r>
              <w:rPr>
                <w:sz w:val="20"/>
                <w:szCs w:val="20"/>
              </w:rPr>
              <w:t xml:space="preserve">ROC-AUC</w:t>
            </w:r>
          </w:p>
        </w:tc>
        <w:tc>
          <w:tcPr>
            <w:tcW w:type="dxa" w:w="3600"/>
            <w:shd w:fill="FFFFFF" w:val="clear"/>
            <w:tcMar>
              <w:top w:type="dxa" w:w="80"/>
              <w:left w:type="dxa" w:w="100"/>
              <w:bottom w:type="dxa" w:w="80"/>
              <w:right w:type="dxa" w:w="100"/>
            </w:tcMar>
          </w:tcPr>
          <w:p>
            <w:r>
              <w:rPr>
                <w:sz w:val="20"/>
                <w:szCs w:val="20"/>
              </w:rPr>
              <w:t xml:space="preserve">Area under the Receiver Operating Characteristic curve</w:t>
            </w:r>
          </w:p>
        </w:tc>
        <w:tc>
          <w:tcPr>
            <w:tcW w:type="dxa" w:w="3800"/>
            <w:shd w:fill="FFFFFF" w:val="clear"/>
            <w:tcMar>
              <w:top w:type="dxa" w:w="80"/>
              <w:left w:type="dxa" w:w="100"/>
              <w:bottom w:type="dxa" w:w="80"/>
              <w:right w:type="dxa" w:w="100"/>
            </w:tcMar>
          </w:tcPr>
          <w:p>
            <w:r>
              <w:rPr>
                <w:sz w:val="20"/>
                <w:szCs w:val="20"/>
              </w:rPr>
              <w:t xml:space="preserve">Measures the model's ability to distinguish classes across all thresholds</w:t>
            </w:r>
          </w:p>
        </w:tc>
      </w:tr>
      <w:tr>
        <w:tc>
          <w:tcPr>
            <w:tcW w:type="dxa" w:w="1800"/>
            <w:shd w:fill="DDEBF7" w:val="clear"/>
            <w:tcMar>
              <w:top w:type="dxa" w:w="80"/>
              <w:left w:type="dxa" w:w="100"/>
              <w:bottom w:type="dxa" w:w="80"/>
              <w:right w:type="dxa" w:w="100"/>
            </w:tcMar>
          </w:tcPr>
          <w:p>
            <w:r>
              <w:rPr>
                <w:sz w:val="20"/>
                <w:szCs w:val="20"/>
              </w:rPr>
              <w:t xml:space="preserve">Confusion Matrix</w:t>
            </w:r>
          </w:p>
        </w:tc>
        <w:tc>
          <w:tcPr>
            <w:tcW w:type="dxa" w:w="3600"/>
            <w:shd w:fill="DDEBF7" w:val="clear"/>
            <w:tcMar>
              <w:top w:type="dxa" w:w="80"/>
              <w:left w:type="dxa" w:w="100"/>
              <w:bottom w:type="dxa" w:w="80"/>
              <w:right w:type="dxa" w:w="100"/>
            </w:tcMar>
          </w:tcPr>
          <w:p>
            <w:r>
              <w:rPr>
                <w:sz w:val="20"/>
                <w:szCs w:val="20"/>
              </w:rPr>
              <w:t xml:space="preserve">Breakdown of true/false positives and negatives</w:t>
            </w:r>
          </w:p>
        </w:tc>
        <w:tc>
          <w:tcPr>
            <w:tcW w:type="dxa" w:w="3800"/>
            <w:shd w:fill="DDEBF7" w:val="clear"/>
            <w:tcMar>
              <w:top w:type="dxa" w:w="80"/>
              <w:left w:type="dxa" w:w="100"/>
              <w:bottom w:type="dxa" w:w="80"/>
              <w:right w:type="dxa" w:w="100"/>
            </w:tcMar>
          </w:tcPr>
          <w:p>
            <w:r>
              <w:rPr>
                <w:sz w:val="20"/>
                <w:szCs w:val="20"/>
              </w:rPr>
              <w:t xml:space="preserve">Provides full transparency into error types for stakeholder review</w:t>
            </w:r>
          </w:p>
        </w:tc>
      </w:tr>
    </w:tbl>
    <w:p>
      <w:pPr>
        <w:pStyle w:val="Heading1"/>
        <w:spacing w:after="150" w:before="300"/>
      </w:pPr>
      <w:r>
        <w:rPr>
          <w:b/>
          <w:bCs/>
          <w:color w:val="1F4E79"/>
        </w:rPr>
        <w:t xml:space="preserve">5. Validation and Testing Strategy</w:t>
      </w:r>
    </w:p>
    <w:p>
      <w:pPr>
        <w:pStyle w:val="Heading2"/>
        <w:spacing w:after="100" w:before="200"/>
      </w:pPr>
      <w:r>
        <w:rPr>
          <w:b/>
          <w:bCs/>
          <w:color w:val="2E75B6"/>
        </w:rPr>
        <w:t xml:space="preserve">5.1 Train/Test Split</w:t>
      </w:r>
    </w:p>
    <w:p>
      <w:pPr>
        <w:spacing w:after="150"/>
      </w:pPr>
      <w:r>
        <w:t xml:space="preserve">The dataset will be split into training (80%) and hold-out test (20%) sets using stratified sampling to preserve the original class ratio in both partitions. The test set will remain untouched until final model evaluation, to provide an unbiased estimate of real-world performance.</w:t>
      </w:r>
    </w:p>
    <w:p>
      <w:pPr>
        <w:pStyle w:val="Heading2"/>
        <w:spacing w:after="100" w:before="200"/>
      </w:pPr>
      <w:r>
        <w:rPr>
          <w:b/>
          <w:bCs/>
          <w:color w:val="2E75B6"/>
        </w:rPr>
        <w:t xml:space="preserve">5.2 Cross-Validation</w:t>
      </w:r>
    </w:p>
    <w:p>
      <w:pPr>
        <w:spacing w:after="150"/>
      </w:pPr>
      <w:r>
        <w:t xml:space="preserve">Stratified k-fold cross-validation (k = 5) will be applied on the training set during model development and hyperparameter tuning. Stratification ensures each fold maintains the same class proportion as the full dataset, which is especially important given the imbalance identified during EDA.</w:t>
      </w:r>
    </w:p>
    <w:p>
      <w:pPr>
        <w:pStyle w:val="Heading2"/>
        <w:spacing w:after="100" w:before="200"/>
      </w:pPr>
      <w:r>
        <w:rPr>
          <w:b/>
          <w:bCs/>
          <w:color w:val="2E75B6"/>
        </w:rPr>
        <w:t xml:space="preserve">5.3 Hyperparameter Tuning</w:t>
      </w:r>
    </w:p>
    <w:p>
      <w:pPr>
        <w:pStyle w:val="ListParagraph"/>
        <w:numPr>
          <w:ilvl w:val="0"/>
          <w:numId w:val="2"/>
        </w:numPr>
        <w:spacing w:after="80"/>
      </w:pPr>
      <w:r>
        <w:t xml:space="preserve">GridSearchCV for smaller, well-understood hyperparameter spaces (e.g., Logistic Regression regularisation strength, Decision Tree depth).</w:t>
      </w:r>
    </w:p>
    <w:p>
      <w:pPr>
        <w:pStyle w:val="ListParagraph"/>
        <w:numPr>
          <w:ilvl w:val="0"/>
          <w:numId w:val="2"/>
        </w:numPr>
        <w:spacing w:after="80"/>
      </w:pPr>
      <w:r>
        <w:t xml:space="preserve">RandomizedSearchCV for larger hyperparameter spaces (e.g., Random Forest, Gradient Boosting) to keep tuning time manageable.</w:t>
      </w:r>
    </w:p>
    <w:p>
      <w:pPr>
        <w:pStyle w:val="ListParagraph"/>
        <w:numPr>
          <w:ilvl w:val="0"/>
          <w:numId w:val="2"/>
        </w:numPr>
        <w:spacing w:after="80"/>
      </w:pPr>
      <w:r>
        <w:t xml:space="preserve">All tuning will be performed only on the training set using cross-validation, never on the held-out test set, to avoid data leakage.</w:t>
      </w:r>
    </w:p>
    <w:p>
      <w:pPr>
        <w:pStyle w:val="Heading1"/>
        <w:spacing w:after="150" w:before="300"/>
      </w:pPr>
      <w:r>
        <w:rPr>
          <w:b/>
          <w:bCs/>
          <w:color w:val="1F4E79"/>
        </w:rPr>
        <w:t xml:space="preserve">6. Model Selection, Evaluation, and Tuning Workflow</w:t>
      </w:r>
    </w:p>
    <w:p>
      <w:pPr>
        <w:shd w:fill="1F4E79" w:val="clear"/>
        <w:spacing w:after="40"/>
      </w:pPr>
      <w:r>
        <w:rPr>
          <w:b/>
          <w:bCs/>
          <w:color w:val="FFFFFF"/>
        </w:rPr>
        <w:t xml:space="preserve">[ Split data (train / test, stratified) ]</w:t>
      </w:r>
    </w:p>
    <w:p>
      <w:pPr>
        <w:spacing w:after="40"/>
        <w:jc w:val="center"/>
      </w:pPr>
      <w:r>
        <w:rPr>
          <w:b/>
          <w:bCs/>
          <w:color w:val="1F4E79"/>
          <w:sz w:val="28"/>
          <w:szCs w:val="28"/>
        </w:rPr>
        <w:t xml:space="preserve">↓</w:t>
      </w:r>
    </w:p>
    <w:p>
      <w:pPr>
        <w:shd w:fill="1F4E79" w:val="clear"/>
        <w:spacing w:after="40"/>
      </w:pPr>
      <w:r>
        <w:rPr>
          <w:b/>
          <w:bCs/>
          <w:color w:val="FFFFFF"/>
        </w:rPr>
        <w:t xml:space="preserve">[ Train baseline model (Logistic Regression) ]</w:t>
      </w:r>
    </w:p>
    <w:p>
      <w:pPr>
        <w:spacing w:after="40"/>
        <w:jc w:val="center"/>
      </w:pPr>
      <w:r>
        <w:rPr>
          <w:b/>
          <w:bCs/>
          <w:color w:val="1F4E79"/>
          <w:sz w:val="28"/>
          <w:szCs w:val="28"/>
        </w:rPr>
        <w:t xml:space="preserve">↓</w:t>
      </w:r>
    </w:p>
    <w:p>
      <w:pPr>
        <w:shd w:fill="1F4E79" w:val="clear"/>
        <w:spacing w:after="40"/>
      </w:pPr>
      <w:r>
        <w:rPr>
          <w:b/>
          <w:bCs/>
          <w:color w:val="FFFFFF"/>
        </w:rPr>
        <w:t xml:space="preserve">[ Train candidate models (Tree, Forest, SVM, KNN, Boosting) ]</w:t>
      </w:r>
    </w:p>
    <w:p>
      <w:pPr>
        <w:spacing w:after="40"/>
        <w:jc w:val="center"/>
      </w:pPr>
      <w:r>
        <w:rPr>
          <w:b/>
          <w:bCs/>
          <w:color w:val="1F4E79"/>
          <w:sz w:val="28"/>
          <w:szCs w:val="28"/>
        </w:rPr>
        <w:t xml:space="preserve">↓</w:t>
      </w:r>
    </w:p>
    <w:p>
      <w:pPr>
        <w:shd w:fill="1F4E79" w:val="clear"/>
        <w:spacing w:after="40"/>
      </w:pPr>
      <w:r>
        <w:rPr>
          <w:b/>
          <w:bCs/>
          <w:color w:val="FFFFFF"/>
        </w:rPr>
        <w:t xml:space="preserve">[ Cross-validate each candidate (5-fold) ]</w:t>
      </w:r>
    </w:p>
    <w:p>
      <w:pPr>
        <w:spacing w:after="40"/>
        <w:jc w:val="center"/>
      </w:pPr>
      <w:r>
        <w:rPr>
          <w:b/>
          <w:bCs/>
          <w:color w:val="1F4E79"/>
          <w:sz w:val="28"/>
          <w:szCs w:val="28"/>
        </w:rPr>
        <w:t xml:space="preserve">↓</w:t>
      </w:r>
    </w:p>
    <w:p>
      <w:pPr>
        <w:shd w:fill="1F4E79" w:val="clear"/>
        <w:spacing w:after="40"/>
      </w:pPr>
      <w:r>
        <w:rPr>
          <w:b/>
          <w:bCs/>
          <w:color w:val="FFFFFF"/>
        </w:rPr>
        <w:t xml:space="preserve">[ Tune hyperparameters (Grid/Randomized Search) ]</w:t>
      </w:r>
    </w:p>
    <w:p>
      <w:pPr>
        <w:spacing w:after="40"/>
        <w:jc w:val="center"/>
      </w:pPr>
      <w:r>
        <w:rPr>
          <w:b/>
          <w:bCs/>
          <w:color w:val="1F4E79"/>
          <w:sz w:val="28"/>
          <w:szCs w:val="28"/>
        </w:rPr>
        <w:t xml:space="preserve">↓</w:t>
      </w:r>
    </w:p>
    <w:p>
      <w:pPr>
        <w:shd w:fill="1F4E79" w:val="clear"/>
        <w:spacing w:after="40"/>
      </w:pPr>
      <w:r>
        <w:rPr>
          <w:b/>
          <w:bCs/>
          <w:color w:val="FFFFFF"/>
        </w:rPr>
        <w:t xml:space="preserve">[ Compare candidates on validation metrics ]</w:t>
      </w:r>
    </w:p>
    <w:p>
      <w:pPr>
        <w:spacing w:after="40"/>
        <w:jc w:val="center"/>
      </w:pPr>
      <w:r>
        <w:rPr>
          <w:b/>
          <w:bCs/>
          <w:color w:val="1F4E79"/>
          <w:sz w:val="28"/>
          <w:szCs w:val="28"/>
        </w:rPr>
        <w:t xml:space="preserve">↓</w:t>
      </w:r>
    </w:p>
    <w:p>
      <w:pPr>
        <w:shd w:fill="1F4E79" w:val="clear"/>
        <w:spacing w:after="40"/>
      </w:pPr>
      <w:r>
        <w:rPr>
          <w:b/>
          <w:bCs/>
          <w:color w:val="FFFFFF"/>
        </w:rPr>
        <w:t xml:space="preserve">[ Select best-performing model ]</w:t>
      </w:r>
    </w:p>
    <w:p>
      <w:pPr>
        <w:spacing w:after="40"/>
        <w:jc w:val="center"/>
      </w:pPr>
      <w:r>
        <w:rPr>
          <w:b/>
          <w:bCs/>
          <w:color w:val="1F4E79"/>
          <w:sz w:val="28"/>
          <w:szCs w:val="28"/>
        </w:rPr>
        <w:t xml:space="preserve">↓</w:t>
      </w:r>
    </w:p>
    <w:p>
      <w:pPr>
        <w:shd w:fill="1F4E79" w:val="clear"/>
        <w:spacing w:after="40"/>
      </w:pPr>
      <w:r>
        <w:rPr>
          <w:b/>
          <w:bCs/>
          <w:color w:val="FFFFFF"/>
        </w:rPr>
        <w:t xml:space="preserve">[ Evaluate final model on held-out test set ]</w:t>
      </w:r>
    </w:p>
    <w:p>
      <w:pPr>
        <w:spacing w:after="40"/>
        <w:jc w:val="center"/>
      </w:pPr>
      <w:r>
        <w:rPr>
          <w:b/>
          <w:bCs/>
          <w:color w:val="1F4E79"/>
          <w:sz w:val="28"/>
          <w:szCs w:val="28"/>
        </w:rPr>
        <w:t xml:space="preserve">↓</w:t>
      </w:r>
    </w:p>
    <w:p>
      <w:pPr>
        <w:shd w:fill="1F4E79" w:val="clear"/>
        <w:spacing w:after="150"/>
      </w:pPr>
      <w:r>
        <w:rPr>
          <w:b/>
          <w:bCs/>
          <w:color w:val="FFFFFF"/>
        </w:rPr>
        <w:t xml:space="preserve">[ Document results &amp; recommendations ]</w:t>
      </w:r>
    </w:p>
    <w:p>
      <w:pPr>
        <w:pStyle w:val="Heading1"/>
        <w:spacing w:after="150" w:before="300"/>
      </w:pPr>
      <w:r>
        <w:rPr>
          <w:b/>
          <w:bCs/>
          <w:color w:val="1F4E79"/>
        </w:rPr>
        <w:t xml:space="preserve">7. Model Comparison Reporting Plan</w:t>
      </w:r>
    </w:p>
    <w:p>
      <w:pPr>
        <w:spacing w:after="150"/>
      </w:pPr>
      <w:r>
        <w:t xml:space="preserve">All candidate models will be summarised in a single comparison table capturing cross-validated Accuracy, Precision, Recall, F1-score, and ROC-AUC (mean ± standard deviation across folds), together with training time. This table will form the basis for the final model recommendation, alongside a qualitative discussion of interpretability trade-offs relevant to a healthcare use case.</w:t>
      </w:r>
    </w:p>
    <w:p>
      <w:pPr>
        <w:pStyle w:val="Heading1"/>
        <w:spacing w:after="150" w:before="300"/>
      </w:pPr>
      <w:r>
        <w:rPr>
          <w:b/>
          <w:bCs/>
          <w:color w:val="1F4E79"/>
        </w:rPr>
        <w:t xml:space="preserve">8. Anticipated Challenges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rPr>
          <w:tblHeader/>
        </w:trPr>
        <w:tc>
          <w:tcPr>
            <w:tcW w:type="dxa" w:w="4200"/>
            <w:shd w:fill="1F4E79" w:val="clear"/>
            <w:tcMar>
              <w:top w:type="dxa" w:w="80"/>
              <w:left w:type="dxa" w:w="100"/>
              <w:bottom w:type="dxa" w:w="80"/>
              <w:right w:type="dxa" w:w="100"/>
            </w:tcMar>
          </w:tcPr>
          <w:p>
            <w:r>
              <w:rPr>
                <w:b/>
                <w:bCs/>
                <w:color w:val="FFFFFF"/>
                <w:sz w:val="20"/>
                <w:szCs w:val="20"/>
              </w:rPr>
              <w:t xml:space="preserve">Challenge</w:t>
            </w:r>
          </w:p>
        </w:tc>
        <w:tc>
          <w:tcPr>
            <w:tcW w:type="dxa" w:w="5600"/>
            <w:shd w:fill="1F4E79" w:val="clear"/>
            <w:tcMar>
              <w:top w:type="dxa" w:w="80"/>
              <w:left w:type="dxa" w:w="100"/>
              <w:bottom w:type="dxa" w:w="80"/>
              <w:right w:type="dxa" w:w="100"/>
            </w:tcMar>
          </w:tcPr>
          <w:p>
            <w:r>
              <w:rPr>
                <w:b/>
                <w:bCs/>
                <w:color w:val="FFFFFF"/>
                <w:sz w:val="20"/>
                <w:szCs w:val="20"/>
              </w:rPr>
              <w:t xml:space="preserve">Mitigation</w:t>
            </w:r>
          </w:p>
        </w:tc>
      </w:tr>
      <w:tr>
        <w:tc>
          <w:tcPr>
            <w:tcW w:type="dxa" w:w="4200"/>
            <w:shd w:fill="FFFFFF" w:val="clear"/>
            <w:tcMar>
              <w:top w:type="dxa" w:w="80"/>
              <w:left w:type="dxa" w:w="100"/>
              <w:bottom w:type="dxa" w:w="80"/>
              <w:right w:type="dxa" w:w="100"/>
            </w:tcMar>
          </w:tcPr>
          <w:p>
            <w:r>
              <w:rPr>
                <w:sz w:val="20"/>
                <w:szCs w:val="20"/>
              </w:rPr>
              <w:t xml:space="preserve">Risk of overfitting with complex models (Random Forest, Boosting, Neural Nets)</w:t>
            </w:r>
          </w:p>
        </w:tc>
        <w:tc>
          <w:tcPr>
            <w:tcW w:type="dxa" w:w="5600"/>
            <w:shd w:fill="FFFFFF" w:val="clear"/>
            <w:tcMar>
              <w:top w:type="dxa" w:w="80"/>
              <w:left w:type="dxa" w:w="100"/>
              <w:bottom w:type="dxa" w:w="80"/>
              <w:right w:type="dxa" w:w="100"/>
            </w:tcMar>
          </w:tcPr>
          <w:p>
            <w:r>
              <w:rPr>
                <w:sz w:val="20"/>
                <w:szCs w:val="20"/>
              </w:rPr>
              <w:t xml:space="preserve">Use cross-validation, regularisation, and compare train-vs-validation metric gaps.</w:t>
            </w:r>
          </w:p>
        </w:tc>
      </w:tr>
      <w:tr>
        <w:tc>
          <w:tcPr>
            <w:tcW w:type="dxa" w:w="4200"/>
            <w:shd w:fill="DDEBF7" w:val="clear"/>
            <w:tcMar>
              <w:top w:type="dxa" w:w="80"/>
              <w:left w:type="dxa" w:w="100"/>
              <w:bottom w:type="dxa" w:w="80"/>
              <w:right w:type="dxa" w:w="100"/>
            </w:tcMar>
          </w:tcPr>
          <w:p>
            <w:r>
              <w:rPr>
                <w:sz w:val="20"/>
                <w:szCs w:val="20"/>
              </w:rPr>
              <w:t xml:space="preserve">Choosing the right metric to optimise given class imbalance</w:t>
            </w:r>
          </w:p>
        </w:tc>
        <w:tc>
          <w:tcPr>
            <w:tcW w:type="dxa" w:w="5600"/>
            <w:shd w:fill="DDEBF7" w:val="clear"/>
            <w:tcMar>
              <w:top w:type="dxa" w:w="80"/>
              <w:left w:type="dxa" w:w="100"/>
              <w:bottom w:type="dxa" w:w="80"/>
              <w:right w:type="dxa" w:w="100"/>
            </w:tcMar>
          </w:tcPr>
          <w:p>
            <w:r>
              <w:rPr>
                <w:sz w:val="20"/>
                <w:szCs w:val="20"/>
              </w:rPr>
              <w:t xml:space="preserve">Prioritise F1-score and Recall over raw accuracy; report the full confusion matrix for transparency.</w:t>
            </w:r>
          </w:p>
        </w:tc>
      </w:tr>
      <w:tr>
        <w:tc>
          <w:tcPr>
            <w:tcW w:type="dxa" w:w="4200"/>
            <w:shd w:fill="FFFFFF" w:val="clear"/>
            <w:tcMar>
              <w:top w:type="dxa" w:w="80"/>
              <w:left w:type="dxa" w:w="100"/>
              <w:bottom w:type="dxa" w:w="80"/>
              <w:right w:type="dxa" w:w="100"/>
            </w:tcMar>
          </w:tcPr>
          <w:p>
            <w:r>
              <w:rPr>
                <w:sz w:val="20"/>
                <w:szCs w:val="20"/>
              </w:rPr>
              <w:t xml:space="preserve">Hyperparameter search taking excessive time on limited hardware</w:t>
            </w:r>
          </w:p>
        </w:tc>
        <w:tc>
          <w:tcPr>
            <w:tcW w:type="dxa" w:w="5600"/>
            <w:shd w:fill="FFFFFF" w:val="clear"/>
            <w:tcMar>
              <w:top w:type="dxa" w:w="80"/>
              <w:left w:type="dxa" w:w="100"/>
              <w:bottom w:type="dxa" w:w="80"/>
              <w:right w:type="dxa" w:w="100"/>
            </w:tcMar>
          </w:tcPr>
          <w:p>
            <w:r>
              <w:rPr>
                <w:sz w:val="20"/>
                <w:szCs w:val="20"/>
              </w:rPr>
              <w:t xml:space="preserve">Use RandomizedSearchCV with a capped iteration budget instead of exhaustive grid search for complex models.</w:t>
            </w:r>
          </w:p>
        </w:tc>
      </w:tr>
      <w:tr>
        <w:tc>
          <w:tcPr>
            <w:tcW w:type="dxa" w:w="4200"/>
            <w:shd w:fill="DDEBF7" w:val="clear"/>
            <w:tcMar>
              <w:top w:type="dxa" w:w="80"/>
              <w:left w:type="dxa" w:w="100"/>
              <w:bottom w:type="dxa" w:w="80"/>
              <w:right w:type="dxa" w:w="100"/>
            </w:tcMar>
          </w:tcPr>
          <w:p>
            <w:r>
              <w:rPr>
                <w:sz w:val="20"/>
                <w:szCs w:val="20"/>
              </w:rPr>
              <w:t xml:space="preserve">Balancing interpretability with performance</w:t>
            </w:r>
          </w:p>
        </w:tc>
        <w:tc>
          <w:tcPr>
            <w:tcW w:type="dxa" w:w="5600"/>
            <w:shd w:fill="DDEBF7" w:val="clear"/>
            <w:tcMar>
              <w:top w:type="dxa" w:w="80"/>
              <w:left w:type="dxa" w:w="100"/>
              <w:bottom w:type="dxa" w:w="80"/>
              <w:right w:type="dxa" w:w="100"/>
            </w:tcMar>
          </w:tcPr>
          <w:p>
            <w:r>
              <w:rPr>
                <w:sz w:val="20"/>
                <w:szCs w:val="20"/>
              </w:rPr>
              <w:t xml:space="preserve">Present both a high-interpretability model (Logistic Regression) and a high-performance model (Random Forest / Boosting) with a documented trade-off discussion.</w:t>
            </w:r>
          </w:p>
        </w:tc>
      </w:tr>
    </w:tbl>
    <w:p>
      <w:pPr>
        <w:pStyle w:val="Heading1"/>
        <w:spacing w:after="150" w:before="300"/>
      </w:pPr>
      <w:r>
        <w:rPr>
          <w:b/>
          <w:bCs/>
          <w:color w:val="1F4E79"/>
        </w:rPr>
        <w:t xml:space="preserve">9. Practical Applicability</w:t>
      </w:r>
    </w:p>
    <w:p>
      <w:pPr>
        <w:spacing w:after="150"/>
      </w:pPr>
      <w:r>
        <w:t xml:space="preserve">While this project is an educational exercise using a public dataset, the plan mirrors real-world practice: a healthcare analytics team would similarly begin with an interpretable baseline, progressively test more sophisticated models, rigorously validate using cross-validation and held-out data, and prioritise metrics such as recall to minimise missed diagnoses. The resulting model comparison and recommendation could serve as a starting point for a proof-of-concept clinical decision-support tool, subject to further validation, regulatory review, and clinical oversight before any real-world use.</w:t>
      </w:r>
    </w:p>
    <w:p>
      <w:pPr>
        <w:pStyle w:val="Heading1"/>
        <w:spacing w:after="150" w:before="300"/>
      </w:pPr>
      <w:r>
        <w:rPr>
          <w:b/>
          <w:bCs/>
          <w:color w:val="1F4E79"/>
        </w:rPr>
        <w:t xml:space="preserve">10. Conclusion</w:t>
      </w:r>
    </w:p>
    <w:p>
      <w:pPr>
        <w:spacing w:after="150"/>
      </w:pPr>
      <w:r>
        <w:t xml:space="preserve">This model selection and evaluation plan provides a systematic, well-justified roadmap for the final phase of the Disease Prediction System project. By comparing a diverse set of algorithms against imbalance-aware metrics, using rigorous cross-validation, and documenting trade-offs between performance and interpretability, the project is positioned to arrive at a defensible, well-evaluated final model recommendation that concludes the four-week internship.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2026-09-02T06:13:23.273Z</dcterms:created>
  <dcterms:modified xsi:type="dcterms:W3CDTF">2026-09-02T06:13:23.273Z</dcterms:modified>
</cp:coreProperties>
</file>

<file path=docProps/custom.xml><?xml version="1.0" encoding="utf-8"?>
<Properties xmlns="http://schemas.openxmlformats.org/officeDocument/2006/custom-properties" xmlns:vt="http://schemas.openxmlformats.org/officeDocument/2006/docPropsVTypes"/>
</file>