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b/>
          <w:bCs/>
          <w:color w:val="1F4E79"/>
          <w:sz w:val="44"/>
          <w:szCs w:val="44"/>
        </w:rPr>
        <w:t xml:space="preserve">Disease Prediction System</w:t>
      </w:r>
    </w:p>
    <w:p>
      <w:pPr>
        <w:spacing w:after="600"/>
        <w:jc w:val="center"/>
      </w:pPr>
      <w:r>
        <w:rPr>
          <w:i/>
          <w:iCs/>
          <w:color w:val="555555"/>
          <w:sz w:val="28"/>
          <w:szCs w:val="28"/>
        </w:rPr>
        <w:t xml:space="preserve">Week 2: Data Cleaning and Transformation Documentation</w:t>
      </w:r>
    </w:p>
    <w:p>
      <w:pPr>
        <w:spacing w:after="100"/>
        <w:jc w:val="center"/>
      </w:pPr>
      <w:r>
        <w:rPr>
          <w:sz w:val="22"/>
          <w:szCs w:val="22"/>
        </w:rPr>
        <w:t xml:space="preserve">Virtual Data Science Apprentice – Python Specialist Intern</w:t>
      </w:r>
    </w:p>
    <w:p>
      <w:pPr>
        <w:spacing w:after="100"/>
        <w:jc w:val="center"/>
      </w:pPr>
      <w:r>
        <w:rPr>
          <w:sz w:val="22"/>
          <w:szCs w:val="22"/>
        </w:rPr>
        <w:t xml:space="preserve">NSDC YuvaIntern Program</w:t>
      </w:r>
    </w:p>
    <w:p>
      <w:pPr>
        <w:spacing w:after="100"/>
        <w:jc w:val="center"/>
      </w:pPr>
      <w:r>
        <w:rPr>
          <w:sz w:val="22"/>
          <w:szCs w:val="22"/>
        </w:rPr>
        <w:t xml:space="preserve">Submission Date: Week 2</w:t>
      </w:r>
    </w:p>
    <w:p>
      <w:pPr>
        <w:pageBreakBefore/>
      </w:pPr>
    </w:p>
    <w:p>
      <w:pPr>
        <w:pStyle w:val="Heading1"/>
        <w:spacing w:after="150" w:before="300"/>
      </w:pPr>
      <w:r>
        <w:rPr>
          <w:b/>
          <w:bCs/>
          <w:color w:val="1F4E79"/>
        </w:rPr>
        <w:t xml:space="preserve">1. Introduction</w:t>
      </w:r>
    </w:p>
    <w:p>
      <w:pPr>
        <w:spacing w:after="150"/>
      </w:pPr>
      <w:r>
        <w:t xml:space="preserve">Following the project plan established in Week 1, this document details the data cleaning and transformation strategy for the Disease Prediction System project, built on the Pima Indians Diabetes Dataset. Raw clinical data is rarely analysis-ready: it contains missing values, inconsistent encodings, duplicate records, and outliers that can distort model training. This document documents — in a reproducible, step-by-step manner — how each of these issues will be identified and resolved using Python, primarily with the pandas and numpy libraries, before the data is passed on to the exploratory analysis and modelling stages.</w:t>
      </w:r>
    </w:p>
    <w:p>
      <w:pPr>
        <w:pStyle w:val="Heading1"/>
        <w:spacing w:after="150" w:before="300"/>
      </w:pPr>
      <w:r>
        <w:rPr>
          <w:b/>
          <w:bCs/>
          <w:color w:val="1F4E79"/>
        </w:rPr>
        <w:t xml:space="preserve">2. Data Quality Issues in the Dataset</w:t>
      </w:r>
    </w:p>
    <w:p>
      <w:pPr>
        <w:spacing w:after="150"/>
      </w:pPr>
      <w:r>
        <w:t xml:space="preserve">An initial quality assessment of the Pima Indians Diabetes Dataset revealed the following categories of issues that must be addressed:</w:t>
      </w:r>
    </w:p>
    <w:p>
      <w:pPr>
        <w:pStyle w:val="ListParagraph"/>
        <w:numPr>
          <w:ilvl w:val="0"/>
          <w:numId w:val="2"/>
        </w:numPr>
        <w:spacing w:after="80"/>
      </w:pPr>
      <w:r>
        <w:t xml:space="preserve">Disguised missing values – fields such as Glucose, BloodPressure, SkinThickness, Insulin, and BMI contain zero values that are biologically implausible and represent missing measurements rather than true zeros.</w:t>
      </w:r>
    </w:p>
    <w:p>
      <w:pPr>
        <w:pStyle w:val="ListParagraph"/>
        <w:numPr>
          <w:ilvl w:val="0"/>
          <w:numId w:val="2"/>
        </w:numPr>
        <w:spacing w:after="80"/>
      </w:pPr>
      <w:r>
        <w:t xml:space="preserve">Duplicate records – potential duplicate patient rows that could bias the model if not removed.</w:t>
      </w:r>
    </w:p>
    <w:p>
      <w:pPr>
        <w:pStyle w:val="ListParagraph"/>
        <w:numPr>
          <w:ilvl w:val="0"/>
          <w:numId w:val="2"/>
        </w:numPr>
        <w:spacing w:after="80"/>
      </w:pPr>
      <w:r>
        <w:t xml:space="preserve">Outliers – extreme values in fields such as Insulin and SkinThickness that may result from measurement error.</w:t>
      </w:r>
    </w:p>
    <w:p>
      <w:pPr>
        <w:pStyle w:val="ListParagraph"/>
        <w:numPr>
          <w:ilvl w:val="0"/>
          <w:numId w:val="2"/>
        </w:numPr>
        <w:spacing w:after="80"/>
      </w:pPr>
      <w:r>
        <w:t xml:space="preserve">Inconsistent scale across features – Age (years), BMI (kg/m²), and Insulin (mu U/ml) exist on very different numeric ranges.</w:t>
      </w:r>
    </w:p>
    <w:p>
      <w:pPr>
        <w:pStyle w:val="ListParagraph"/>
        <w:numPr>
          <w:ilvl w:val="0"/>
          <w:numId w:val="2"/>
        </w:numPr>
        <w:spacing w:after="80"/>
      </w:pPr>
      <w:r>
        <w:t xml:space="preserve">Class imbalance in the target variable – roughly 65% non-diabetic vs 35% diabetic cases.</w:t>
      </w:r>
    </w:p>
    <w:p>
      <w:pPr>
        <w:pStyle w:val="Heading1"/>
        <w:spacing w:after="150" w:before="300"/>
      </w:pPr>
      <w:r>
        <w:rPr>
          <w:b/>
          <w:bCs/>
          <w:color w:val="1F4E79"/>
        </w:rPr>
        <w:t xml:space="preserve">3. Data Cleaning Strategy</w:t>
      </w:r>
    </w:p>
    <w:p>
      <w:pPr>
        <w:pStyle w:val="Heading2"/>
        <w:spacing w:after="100" w:before="200"/>
      </w:pPr>
      <w:r>
        <w:rPr>
          <w:b/>
          <w:bCs/>
          <w:color w:val="2E75B6"/>
        </w:rPr>
        <w:t xml:space="preserve">3.1 Handling Missing / Disguised Values</w:t>
      </w:r>
    </w:p>
    <w:p>
      <w:pPr>
        <w:spacing w:after="150"/>
      </w:pPr>
      <w:r>
        <w:t xml:space="preserve">Zero values in physiologically non-zero columns (Glucose, BloodPressure, SkinThickness, Insulin, BMI) will first be replaced with NaN using pandas so that they are correctly recognised as missing:</w:t>
      </w:r>
    </w:p>
    <w:p>
      <w:pPr>
        <w:shd w:fill="F2F2F2" w:val="clear"/>
        <w:spacing w:after="150"/>
      </w:pPr>
      <w:r>
        <w:rPr>
          <w:rFonts w:ascii="Consolas" w:cs="Consolas" w:eastAsia="Consolas" w:hAnsi="Consolas"/>
          <w:color w:val="555555"/>
          <w:sz w:val="20"/>
          <w:szCs w:val="20"/>
        </w:rPr>
        <w:t xml:space="preserve">df[cols] = df[cols].replace(0, np.nan)</w:t>
      </w:r>
    </w:p>
    <w:p>
      <w:pPr>
        <w:spacing w:after="150"/>
      </w:pPr>
      <w:r>
        <w:t xml:space="preserve">Imputation approach by column: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600"/>
      </w:tblGrid>
      <w:tr>
        <w:trPr>
          <w:tblHeader/>
        </w:trPr>
        <w:tc>
          <w:tcPr>
            <w:tcW w:type="dxa" w:w="2200"/>
            <w:shd w:fill="1F4E79" w:val="clear"/>
            <w:tcMar>
              <w:top w:type="dxa" w:w="80"/>
              <w:left w:type="dxa" w:w="100"/>
              <w:bottom w:type="dxa" w:w="80"/>
              <w:right w:type="dxa" w:w="100"/>
            </w:tcMar>
          </w:tcPr>
          <w:p>
            <w:r>
              <w:rPr>
                <w:b/>
                <w:bCs/>
                <w:color w:val="FFFFFF"/>
                <w:sz w:val="20"/>
                <w:szCs w:val="20"/>
              </w:rPr>
              <w:t xml:space="preserve">Column</w:t>
            </w:r>
          </w:p>
        </w:tc>
        <w:tc>
          <w:tcPr>
            <w:tcW w:type="dxa" w:w="3400"/>
            <w:shd w:fill="1F4E79" w:val="clear"/>
            <w:tcMar>
              <w:top w:type="dxa" w:w="80"/>
              <w:left w:type="dxa" w:w="100"/>
              <w:bottom w:type="dxa" w:w="80"/>
              <w:right w:type="dxa" w:w="100"/>
            </w:tcMar>
          </w:tcPr>
          <w:p>
            <w:r>
              <w:rPr>
                <w:b/>
                <w:bCs/>
                <w:color w:val="FFFFFF"/>
                <w:sz w:val="20"/>
                <w:szCs w:val="20"/>
              </w:rPr>
              <w:t xml:space="preserve">Imputation Method</w:t>
            </w:r>
          </w:p>
        </w:tc>
        <w:tc>
          <w:tcPr>
            <w:tcW w:type="dxa" w:w="3600"/>
            <w:shd w:fill="1F4E79" w:val="clear"/>
            <w:tcMar>
              <w:top w:type="dxa" w:w="80"/>
              <w:left w:type="dxa" w:w="100"/>
              <w:bottom w:type="dxa" w:w="80"/>
              <w:right w:type="dxa" w:w="100"/>
            </w:tcMar>
          </w:tcPr>
          <w:p>
            <w:r>
              <w:rPr>
                <w:b/>
                <w:bCs/>
                <w:color w:val="FFFFFF"/>
                <w:sz w:val="20"/>
                <w:szCs w:val="20"/>
              </w:rPr>
              <w:t xml:space="preserve">Rationale</w:t>
            </w:r>
          </w:p>
        </w:tc>
      </w:tr>
      <w:tr>
        <w:tc>
          <w:tcPr>
            <w:tcW w:type="dxa" w:w="2200"/>
            <w:shd w:fill="FFFFFF" w:val="clear"/>
            <w:tcMar>
              <w:top w:type="dxa" w:w="80"/>
              <w:left w:type="dxa" w:w="100"/>
              <w:bottom w:type="dxa" w:w="80"/>
              <w:right w:type="dxa" w:w="100"/>
            </w:tcMar>
          </w:tcPr>
          <w:p>
            <w:r>
              <w:rPr>
                <w:sz w:val="20"/>
                <w:szCs w:val="20"/>
              </w:rPr>
              <w:t xml:space="preserve">Glucose</w:t>
            </w:r>
          </w:p>
        </w:tc>
        <w:tc>
          <w:tcPr>
            <w:tcW w:type="dxa" w:w="3400"/>
            <w:shd w:fill="FFFFFF" w:val="clear"/>
            <w:tcMar>
              <w:top w:type="dxa" w:w="80"/>
              <w:left w:type="dxa" w:w="100"/>
              <w:bottom w:type="dxa" w:w="80"/>
              <w:right w:type="dxa" w:w="100"/>
            </w:tcMar>
          </w:tcPr>
          <w:p>
            <w:r>
              <w:rPr>
                <w:sz w:val="20"/>
                <w:szCs w:val="20"/>
              </w:rPr>
              <w:t xml:space="preserve">Median imputation, grouped by Outcome class</w:t>
            </w:r>
          </w:p>
        </w:tc>
        <w:tc>
          <w:tcPr>
            <w:tcW w:type="dxa" w:w="3600"/>
            <w:shd w:fill="FFFFFF" w:val="clear"/>
            <w:tcMar>
              <w:top w:type="dxa" w:w="80"/>
              <w:left w:type="dxa" w:w="100"/>
              <w:bottom w:type="dxa" w:w="80"/>
              <w:right w:type="dxa" w:w="100"/>
            </w:tcMar>
          </w:tcPr>
          <w:p>
            <w:r>
              <w:rPr>
                <w:sz w:val="20"/>
                <w:szCs w:val="20"/>
              </w:rPr>
              <w:t xml:space="preserve">Skewed distribution; median is robust to outliers</w:t>
            </w:r>
          </w:p>
        </w:tc>
      </w:tr>
      <w:tr>
        <w:tc>
          <w:tcPr>
            <w:tcW w:type="dxa" w:w="2200"/>
            <w:shd w:fill="DDEBF7" w:val="clear"/>
            <w:tcMar>
              <w:top w:type="dxa" w:w="80"/>
              <w:left w:type="dxa" w:w="100"/>
              <w:bottom w:type="dxa" w:w="80"/>
              <w:right w:type="dxa" w:w="100"/>
            </w:tcMar>
          </w:tcPr>
          <w:p>
            <w:r>
              <w:rPr>
                <w:sz w:val="20"/>
                <w:szCs w:val="20"/>
              </w:rPr>
              <w:t xml:space="preserve">BloodPressure</w:t>
            </w:r>
          </w:p>
        </w:tc>
        <w:tc>
          <w:tcPr>
            <w:tcW w:type="dxa" w:w="3400"/>
            <w:shd w:fill="DDEBF7" w:val="clear"/>
            <w:tcMar>
              <w:top w:type="dxa" w:w="80"/>
              <w:left w:type="dxa" w:w="100"/>
              <w:bottom w:type="dxa" w:w="80"/>
              <w:right w:type="dxa" w:w="100"/>
            </w:tcMar>
          </w:tcPr>
          <w:p>
            <w:r>
              <w:rPr>
                <w:sz w:val="20"/>
                <w:szCs w:val="20"/>
              </w:rPr>
              <w:t xml:space="preserve">Median imputation</w:t>
            </w:r>
          </w:p>
        </w:tc>
        <w:tc>
          <w:tcPr>
            <w:tcW w:type="dxa" w:w="3600"/>
            <w:shd w:fill="DDEBF7" w:val="clear"/>
            <w:tcMar>
              <w:top w:type="dxa" w:w="80"/>
              <w:left w:type="dxa" w:w="100"/>
              <w:bottom w:type="dxa" w:w="80"/>
              <w:right w:type="dxa" w:w="100"/>
            </w:tcMar>
          </w:tcPr>
          <w:p>
            <w:r>
              <w:rPr>
                <w:sz w:val="20"/>
                <w:szCs w:val="20"/>
              </w:rPr>
              <w:t xml:space="preserve">Near-normal distribution</w:t>
            </w:r>
          </w:p>
        </w:tc>
      </w:tr>
      <w:tr>
        <w:tc>
          <w:tcPr>
            <w:tcW w:type="dxa" w:w="2200"/>
            <w:shd w:fill="FFFFFF" w:val="clear"/>
            <w:tcMar>
              <w:top w:type="dxa" w:w="80"/>
              <w:left w:type="dxa" w:w="100"/>
              <w:bottom w:type="dxa" w:w="80"/>
              <w:right w:type="dxa" w:w="100"/>
            </w:tcMar>
          </w:tcPr>
          <w:p>
            <w:r>
              <w:rPr>
                <w:sz w:val="20"/>
                <w:szCs w:val="20"/>
              </w:rPr>
              <w:t xml:space="preserve">SkinThickness</w:t>
            </w:r>
          </w:p>
        </w:tc>
        <w:tc>
          <w:tcPr>
            <w:tcW w:type="dxa" w:w="3400"/>
            <w:shd w:fill="FFFFFF" w:val="clear"/>
            <w:tcMar>
              <w:top w:type="dxa" w:w="80"/>
              <w:left w:type="dxa" w:w="100"/>
              <w:bottom w:type="dxa" w:w="80"/>
              <w:right w:type="dxa" w:w="100"/>
            </w:tcMar>
          </w:tcPr>
          <w:p>
            <w:r>
              <w:rPr>
                <w:sz w:val="20"/>
                <w:szCs w:val="20"/>
              </w:rPr>
              <w:t xml:space="preserve">Median imputation, grouped by BMI quartile</w:t>
            </w:r>
          </w:p>
        </w:tc>
        <w:tc>
          <w:tcPr>
            <w:tcW w:type="dxa" w:w="3600"/>
            <w:shd w:fill="FFFFFF" w:val="clear"/>
            <w:tcMar>
              <w:top w:type="dxa" w:w="80"/>
              <w:left w:type="dxa" w:w="100"/>
              <w:bottom w:type="dxa" w:w="80"/>
              <w:right w:type="dxa" w:w="100"/>
            </w:tcMar>
          </w:tcPr>
          <w:p>
            <w:r>
              <w:rPr>
                <w:sz w:val="20"/>
                <w:szCs w:val="20"/>
              </w:rPr>
              <w:t xml:space="preserve">Correlated with BMI; group-wise median improves accuracy</w:t>
            </w:r>
          </w:p>
        </w:tc>
      </w:tr>
      <w:tr>
        <w:tc>
          <w:tcPr>
            <w:tcW w:type="dxa" w:w="2200"/>
            <w:shd w:fill="DDEBF7" w:val="clear"/>
            <w:tcMar>
              <w:top w:type="dxa" w:w="80"/>
              <w:left w:type="dxa" w:w="100"/>
              <w:bottom w:type="dxa" w:w="80"/>
              <w:right w:type="dxa" w:w="100"/>
            </w:tcMar>
          </w:tcPr>
          <w:p>
            <w:r>
              <w:rPr>
                <w:sz w:val="20"/>
                <w:szCs w:val="20"/>
              </w:rPr>
              <w:t xml:space="preserve">Insulin</w:t>
            </w:r>
          </w:p>
        </w:tc>
        <w:tc>
          <w:tcPr>
            <w:tcW w:type="dxa" w:w="3400"/>
            <w:shd w:fill="DDEBF7" w:val="clear"/>
            <w:tcMar>
              <w:top w:type="dxa" w:w="80"/>
              <w:left w:type="dxa" w:w="100"/>
              <w:bottom w:type="dxa" w:w="80"/>
              <w:right w:type="dxa" w:w="100"/>
            </w:tcMar>
          </w:tcPr>
          <w:p>
            <w:r>
              <w:rPr>
                <w:sz w:val="20"/>
                <w:szCs w:val="20"/>
              </w:rPr>
              <w:t xml:space="preserve">K-Nearest Neighbours (KNN) imputation</w:t>
            </w:r>
          </w:p>
        </w:tc>
        <w:tc>
          <w:tcPr>
            <w:tcW w:type="dxa" w:w="3600"/>
            <w:shd w:fill="DDEBF7" w:val="clear"/>
            <w:tcMar>
              <w:top w:type="dxa" w:w="80"/>
              <w:left w:type="dxa" w:w="100"/>
              <w:bottom w:type="dxa" w:w="80"/>
              <w:right w:type="dxa" w:w="100"/>
            </w:tcMar>
          </w:tcPr>
          <w:p>
            <w:r>
              <w:rPr>
                <w:sz w:val="20"/>
                <w:szCs w:val="20"/>
              </w:rPr>
              <w:t xml:space="preserve">High missingness (~48%); relationships with Glucose/BMI aid estimation</w:t>
            </w:r>
          </w:p>
        </w:tc>
      </w:tr>
      <w:tr>
        <w:tc>
          <w:tcPr>
            <w:tcW w:type="dxa" w:w="2200"/>
            <w:shd w:fill="FFFFFF" w:val="clear"/>
            <w:tcMar>
              <w:top w:type="dxa" w:w="80"/>
              <w:left w:type="dxa" w:w="100"/>
              <w:bottom w:type="dxa" w:w="80"/>
              <w:right w:type="dxa" w:w="100"/>
            </w:tcMar>
          </w:tcPr>
          <w:p>
            <w:r>
              <w:rPr>
                <w:sz w:val="20"/>
                <w:szCs w:val="20"/>
              </w:rPr>
              <w:t xml:space="preserve">BMI</w:t>
            </w:r>
          </w:p>
        </w:tc>
        <w:tc>
          <w:tcPr>
            <w:tcW w:type="dxa" w:w="3400"/>
            <w:shd w:fill="FFFFFF" w:val="clear"/>
            <w:tcMar>
              <w:top w:type="dxa" w:w="80"/>
              <w:left w:type="dxa" w:w="100"/>
              <w:bottom w:type="dxa" w:w="80"/>
              <w:right w:type="dxa" w:w="100"/>
            </w:tcMar>
          </w:tcPr>
          <w:p>
            <w:r>
              <w:rPr>
                <w:sz w:val="20"/>
                <w:szCs w:val="20"/>
              </w:rPr>
              <w:t xml:space="preserve">Median imputation</w:t>
            </w:r>
          </w:p>
        </w:tc>
        <w:tc>
          <w:tcPr>
            <w:tcW w:type="dxa" w:w="3600"/>
            <w:shd w:fill="FFFFFF" w:val="clear"/>
            <w:tcMar>
              <w:top w:type="dxa" w:w="80"/>
              <w:left w:type="dxa" w:w="100"/>
              <w:bottom w:type="dxa" w:w="80"/>
              <w:right w:type="dxa" w:w="100"/>
            </w:tcMar>
          </w:tcPr>
          <w:p>
            <w:r>
              <w:rPr>
                <w:sz w:val="20"/>
                <w:szCs w:val="20"/>
              </w:rPr>
              <w:t xml:space="preserve">Low missingness (~1.5%); simple median is sufficient</w:t>
            </w:r>
          </w:p>
        </w:tc>
      </w:tr>
    </w:tbl>
    <w:p>
      <w:pPr>
        <w:pStyle w:val="Heading2"/>
        <w:spacing w:after="100" w:before="200"/>
      </w:pPr>
      <w:r>
        <w:rPr>
          <w:b/>
          <w:bCs/>
          <w:color w:val="2E75B6"/>
        </w:rPr>
        <w:t xml:space="preserve">3.2 Handling Duplicates</w:t>
      </w:r>
    </w:p>
    <w:p>
      <w:pPr>
        <w:pStyle w:val="ListParagraph"/>
        <w:numPr>
          <w:ilvl w:val="0"/>
          <w:numId w:val="3"/>
        </w:numPr>
        <w:spacing w:after="80"/>
      </w:pPr>
      <w:r>
        <w:t xml:space="preserve">Identify exact duplicate rows using df.duplicated().</w:t>
      </w:r>
    </w:p>
    <w:p>
      <w:pPr>
        <w:pStyle w:val="ListParagraph"/>
        <w:numPr>
          <w:ilvl w:val="0"/>
          <w:numId w:val="3"/>
        </w:numPr>
        <w:spacing w:after="80"/>
      </w:pPr>
      <w:r>
        <w:t xml:space="preserve">Cross-check near-duplicate records (same patient attributes but different index) for potential data-entry repetition.</w:t>
      </w:r>
    </w:p>
    <w:p>
      <w:pPr>
        <w:pStyle w:val="ListParagraph"/>
        <w:numPr>
          <w:ilvl w:val="0"/>
          <w:numId w:val="3"/>
        </w:numPr>
        <w:spacing w:after="80"/>
      </w:pPr>
      <w:r>
        <w:t xml:space="preserve">Drop confirmed duplicates using df.drop_duplicates(keep='first') and log the number of rows removed.</w:t>
      </w:r>
    </w:p>
    <w:p>
      <w:pPr>
        <w:pStyle w:val="Heading2"/>
        <w:spacing w:after="100" w:before="200"/>
      </w:pPr>
      <w:r>
        <w:rPr>
          <w:b/>
          <w:bCs/>
          <w:color w:val="2E75B6"/>
        </w:rPr>
        <w:t xml:space="preserve">3.3 Outlier Detection and Treatment</w:t>
      </w:r>
    </w:p>
    <w:p>
      <w:pPr>
        <w:spacing w:after="150"/>
      </w:pPr>
      <w:r>
        <w:t xml:space="preserve">Outliers will be identified using the Interquartile Range (IQR) method and visualised with box plots prior to any treatment decision:</w:t>
      </w:r>
    </w:p>
    <w:p>
      <w:pPr>
        <w:pStyle w:val="ListParagraph"/>
        <w:numPr>
          <w:ilvl w:val="0"/>
          <w:numId w:val="2"/>
        </w:numPr>
        <w:spacing w:after="80"/>
      </w:pPr>
      <w:r>
        <w:t xml:space="preserve">Compute Q1, Q3, and IQR for each numeric feature.</w:t>
      </w:r>
    </w:p>
    <w:p>
      <w:pPr>
        <w:pStyle w:val="ListParagraph"/>
        <w:numPr>
          <w:ilvl w:val="0"/>
          <w:numId w:val="2"/>
        </w:numPr>
        <w:spacing w:after="80"/>
      </w:pPr>
      <w:r>
        <w:t xml:space="preserve">Flag values outside [Q1 − 1.5×IQR, Q3 + 1.5×IQR] as potential outliers.</w:t>
      </w:r>
    </w:p>
    <w:p>
      <w:pPr>
        <w:pStyle w:val="ListParagraph"/>
        <w:numPr>
          <w:ilvl w:val="0"/>
          <w:numId w:val="2"/>
        </w:numPr>
        <w:spacing w:after="80"/>
      </w:pPr>
      <w:r>
        <w:t xml:space="preserve">For clinically plausible extreme values (e.g., very high Glucose in a genuinely diabetic patient), retain the value — as it may carry real predictive signal.</w:t>
      </w:r>
    </w:p>
    <w:p>
      <w:pPr>
        <w:pStyle w:val="ListParagraph"/>
        <w:numPr>
          <w:ilvl w:val="0"/>
          <w:numId w:val="2"/>
        </w:numPr>
        <w:spacing w:after="80"/>
      </w:pPr>
      <w:r>
        <w:t xml:space="preserve">For implausible values (e.g., Insulin &gt; 800 mu U/ml), cap using winsorization at the 1st/99th percentile rather than deleting the row, to preserve sample size.</w:t>
      </w:r>
    </w:p>
    <w:p>
      <w:pPr>
        <w:pStyle w:val="Heading2"/>
        <w:spacing w:after="100" w:before="200"/>
      </w:pPr>
      <w:r>
        <w:rPr>
          <w:b/>
          <w:bCs/>
          <w:color w:val="2E75B6"/>
        </w:rPr>
        <w:t xml:space="preserve">3.4 Data Type and Consistency Checks</w:t>
      </w:r>
    </w:p>
    <w:p>
      <w:pPr>
        <w:pStyle w:val="ListParagraph"/>
        <w:numPr>
          <w:ilvl w:val="0"/>
          <w:numId w:val="2"/>
        </w:numPr>
        <w:spacing w:after="80"/>
      </w:pPr>
      <w:r>
        <w:t xml:space="preserve">Verify each column's dtype matches its intended type (e.g., Pregnancies and Age as integers, BMI as float).</w:t>
      </w:r>
    </w:p>
    <w:p>
      <w:pPr>
        <w:pStyle w:val="ListParagraph"/>
        <w:numPr>
          <w:ilvl w:val="0"/>
          <w:numId w:val="2"/>
        </w:numPr>
        <w:spacing w:after="80"/>
      </w:pPr>
      <w:r>
        <w:t xml:space="preserve">Confirm the Outcome target column contains only the expected values 0 and 1.</w:t>
      </w:r>
    </w:p>
    <w:p>
      <w:pPr>
        <w:pStyle w:val="ListParagraph"/>
        <w:numPr>
          <w:ilvl w:val="0"/>
          <w:numId w:val="2"/>
        </w:numPr>
        <w:spacing w:after="80"/>
      </w:pPr>
      <w:r>
        <w:t xml:space="preserve">Check for whitespace or formatting inconsistencies if the dataset is later merged with additional public health data.</w:t>
      </w:r>
    </w:p>
    <w:p>
      <w:pPr>
        <w:pStyle w:val="Heading1"/>
        <w:spacing w:after="150" w:before="300"/>
      </w:pPr>
      <w:r>
        <w:rPr>
          <w:b/>
          <w:bCs/>
          <w:color w:val="1F4E79"/>
        </w:rPr>
        <w:t xml:space="preserve">4. Data Transformation Strategy</w:t>
      </w:r>
    </w:p>
    <w:p>
      <w:pPr>
        <w:pStyle w:val="Heading2"/>
        <w:spacing w:after="100" w:before="200"/>
      </w:pPr>
      <w:r>
        <w:rPr>
          <w:b/>
          <w:bCs/>
          <w:color w:val="2E75B6"/>
        </w:rPr>
        <w:t xml:space="preserve">4.1 Feature Scaling</w:t>
      </w:r>
    </w:p>
    <w:p>
      <w:pPr>
        <w:spacing w:after="150"/>
      </w:pPr>
      <w:r>
        <w:t xml:space="preserve">Because features span very different numeric ranges, scaling will be applied prior to training distance-based or gradient-based models (e.g., SVM, Logistic Regression, Neural Networks). Tree-based models (Decision Tree, Random Forest) do not strictly require scaling but will use the same pipeline for consistency.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400"/>
      </w:tblGrid>
      <w:tr>
        <w:trPr>
          <w:tblHeader/>
        </w:trPr>
        <w:tc>
          <w:tcPr>
            <w:tcW w:type="dxa" w:w="2800"/>
            <w:shd w:fill="1F4E79" w:val="clear"/>
            <w:tcMar>
              <w:top w:type="dxa" w:w="80"/>
              <w:left w:type="dxa" w:w="100"/>
              <w:bottom w:type="dxa" w:w="80"/>
              <w:right w:type="dxa" w:w="100"/>
            </w:tcMar>
          </w:tcPr>
          <w:p>
            <w:r>
              <w:rPr>
                <w:b/>
                <w:bCs/>
                <w:color w:val="FFFFFF"/>
                <w:sz w:val="20"/>
                <w:szCs w:val="20"/>
              </w:rPr>
              <w:t xml:space="preserve">Technique</w:t>
            </w:r>
          </w:p>
        </w:tc>
        <w:tc>
          <w:tcPr>
            <w:tcW w:type="dxa" w:w="3400"/>
            <w:shd w:fill="1F4E79" w:val="clear"/>
            <w:tcMar>
              <w:top w:type="dxa" w:w="80"/>
              <w:left w:type="dxa" w:w="100"/>
              <w:bottom w:type="dxa" w:w="80"/>
              <w:right w:type="dxa" w:w="100"/>
            </w:tcMar>
          </w:tcPr>
          <w:p>
            <w:r>
              <w:rPr>
                <w:b/>
                <w:bCs/>
                <w:color w:val="FFFFFF"/>
                <w:sz w:val="20"/>
                <w:szCs w:val="20"/>
              </w:rPr>
              <w:t xml:space="preserve">Used For</w:t>
            </w:r>
          </w:p>
        </w:tc>
        <w:tc>
          <w:tcPr>
            <w:tcW w:type="dxa" w:w="3400"/>
            <w:shd w:fill="1F4E79" w:val="clear"/>
            <w:tcMar>
              <w:top w:type="dxa" w:w="80"/>
              <w:left w:type="dxa" w:w="100"/>
              <w:bottom w:type="dxa" w:w="80"/>
              <w:right w:type="dxa" w:w="100"/>
            </w:tcMar>
          </w:tcPr>
          <w:p>
            <w:r>
              <w:rPr>
                <w:b/>
                <w:bCs/>
                <w:color w:val="FFFFFF"/>
                <w:sz w:val="20"/>
                <w:szCs w:val="20"/>
              </w:rPr>
              <w:t xml:space="preserve">Notes</w:t>
            </w:r>
          </w:p>
        </w:tc>
      </w:tr>
      <w:tr>
        <w:tc>
          <w:tcPr>
            <w:tcW w:type="dxa" w:w="2800"/>
            <w:shd w:fill="FFFFFF" w:val="clear"/>
            <w:tcMar>
              <w:top w:type="dxa" w:w="80"/>
              <w:left w:type="dxa" w:w="100"/>
              <w:bottom w:type="dxa" w:w="80"/>
              <w:right w:type="dxa" w:w="100"/>
            </w:tcMar>
          </w:tcPr>
          <w:p>
            <w:r>
              <w:rPr>
                <w:sz w:val="20"/>
                <w:szCs w:val="20"/>
              </w:rPr>
              <w:t xml:space="preserve">StandardScaler (z-score)</w:t>
            </w:r>
          </w:p>
        </w:tc>
        <w:tc>
          <w:tcPr>
            <w:tcW w:type="dxa" w:w="3400"/>
            <w:shd w:fill="FFFFFF" w:val="clear"/>
            <w:tcMar>
              <w:top w:type="dxa" w:w="80"/>
              <w:left w:type="dxa" w:w="100"/>
              <w:bottom w:type="dxa" w:w="80"/>
              <w:right w:type="dxa" w:w="100"/>
            </w:tcMar>
          </w:tcPr>
          <w:p>
            <w:r>
              <w:rPr>
                <w:sz w:val="20"/>
                <w:szCs w:val="20"/>
              </w:rPr>
              <w:t xml:space="preserve">Logistic Regression, SVM, Neural Networks</w:t>
            </w:r>
          </w:p>
        </w:tc>
        <w:tc>
          <w:tcPr>
            <w:tcW w:type="dxa" w:w="3400"/>
            <w:shd w:fill="FFFFFF" w:val="clear"/>
            <w:tcMar>
              <w:top w:type="dxa" w:w="80"/>
              <w:left w:type="dxa" w:w="100"/>
              <w:bottom w:type="dxa" w:w="80"/>
              <w:right w:type="dxa" w:w="100"/>
            </w:tcMar>
          </w:tcPr>
          <w:p>
            <w:r>
              <w:rPr>
                <w:sz w:val="20"/>
                <w:szCs w:val="20"/>
              </w:rPr>
              <w:t xml:space="preserve">Centres data to mean 0, std 1; assumes roughly normal distribution</w:t>
            </w:r>
          </w:p>
        </w:tc>
      </w:tr>
      <w:tr>
        <w:tc>
          <w:tcPr>
            <w:tcW w:type="dxa" w:w="2800"/>
            <w:shd w:fill="DDEBF7" w:val="clear"/>
            <w:tcMar>
              <w:top w:type="dxa" w:w="80"/>
              <w:left w:type="dxa" w:w="100"/>
              <w:bottom w:type="dxa" w:w="80"/>
              <w:right w:type="dxa" w:w="100"/>
            </w:tcMar>
          </w:tcPr>
          <w:p>
            <w:r>
              <w:rPr>
                <w:sz w:val="20"/>
                <w:szCs w:val="20"/>
              </w:rPr>
              <w:t xml:space="preserve">MinMaxScaler</w:t>
            </w:r>
          </w:p>
        </w:tc>
        <w:tc>
          <w:tcPr>
            <w:tcW w:type="dxa" w:w="3400"/>
            <w:shd w:fill="DDEBF7" w:val="clear"/>
            <w:tcMar>
              <w:top w:type="dxa" w:w="80"/>
              <w:left w:type="dxa" w:w="100"/>
              <w:bottom w:type="dxa" w:w="80"/>
              <w:right w:type="dxa" w:w="100"/>
            </w:tcMar>
          </w:tcPr>
          <w:p>
            <w:r>
              <w:rPr>
                <w:sz w:val="20"/>
                <w:szCs w:val="20"/>
              </w:rPr>
              <w:t xml:space="preserve">KNN-based comparisons</w:t>
            </w:r>
          </w:p>
        </w:tc>
        <w:tc>
          <w:tcPr>
            <w:tcW w:type="dxa" w:w="3400"/>
            <w:shd w:fill="DDEBF7" w:val="clear"/>
            <w:tcMar>
              <w:top w:type="dxa" w:w="80"/>
              <w:left w:type="dxa" w:w="100"/>
              <w:bottom w:type="dxa" w:w="80"/>
              <w:right w:type="dxa" w:w="100"/>
            </w:tcMar>
          </w:tcPr>
          <w:p>
            <w:r>
              <w:rPr>
                <w:sz w:val="20"/>
                <w:szCs w:val="20"/>
              </w:rPr>
              <w:t xml:space="preserve">Scales features to a fixed [0, 1] range; sensitive to outliers</w:t>
            </w:r>
          </w:p>
        </w:tc>
      </w:tr>
    </w:tbl>
    <w:p>
      <w:pPr>
        <w:pStyle w:val="Heading2"/>
        <w:spacing w:after="100" w:before="200"/>
      </w:pPr>
      <w:r>
        <w:rPr>
          <w:b/>
          <w:bCs/>
          <w:color w:val="2E75B6"/>
        </w:rPr>
        <w:t xml:space="preserve">4.2 Feature Engineering</w:t>
      </w:r>
    </w:p>
    <w:p>
      <w:pPr>
        <w:pStyle w:val="ListParagraph"/>
        <w:numPr>
          <w:ilvl w:val="0"/>
          <w:numId w:val="2"/>
        </w:numPr>
        <w:spacing w:after="80"/>
      </w:pPr>
      <w:r>
        <w:t xml:space="preserve">BMI Category – bucket BMI into Underweight / Normal / Overweight / Obese using clinical thresholds.</w:t>
      </w:r>
    </w:p>
    <w:p>
      <w:pPr>
        <w:pStyle w:val="ListParagraph"/>
        <w:numPr>
          <w:ilvl w:val="0"/>
          <w:numId w:val="2"/>
        </w:numPr>
        <w:spacing w:after="80"/>
      </w:pPr>
      <w:r>
        <w:t xml:space="preserve">Age Group – bucket Age into decade-based bins (20s, 30s, 40s, 50+) to capture non-linear age effects.</w:t>
      </w:r>
    </w:p>
    <w:p>
      <w:pPr>
        <w:pStyle w:val="ListParagraph"/>
        <w:numPr>
          <w:ilvl w:val="0"/>
          <w:numId w:val="2"/>
        </w:numPr>
        <w:spacing w:after="80"/>
      </w:pPr>
      <w:r>
        <w:t xml:space="preserve">Glucose-to-Insulin Ratio – a derived feature often correlated with insulin resistance.</w:t>
      </w:r>
    </w:p>
    <w:p>
      <w:pPr>
        <w:pStyle w:val="ListParagraph"/>
        <w:numPr>
          <w:ilvl w:val="0"/>
          <w:numId w:val="2"/>
        </w:numPr>
        <w:spacing w:after="80"/>
      </w:pPr>
      <w:r>
        <w:t xml:space="preserve">Interaction terms – e.g., BMI × Age, to capture combined risk effects.</w:t>
      </w:r>
    </w:p>
    <w:p>
      <w:pPr>
        <w:pStyle w:val="Heading2"/>
        <w:spacing w:after="100" w:before="200"/>
      </w:pPr>
      <w:r>
        <w:rPr>
          <w:b/>
          <w:bCs/>
          <w:color w:val="2E75B6"/>
        </w:rPr>
        <w:t xml:space="preserve">4.3 Encoding</w:t>
      </w:r>
    </w:p>
    <w:p>
      <w:pPr>
        <w:spacing w:after="150"/>
      </w:pPr>
      <w:r>
        <w:t xml:space="preserve">The current dataset is entirely numeric, so no categorical encoding is required for the base features. However, the newly engineered categorical features (e.g., BMI Category, Age Group) will be one-hot encoded using pandas.get_dummies() or scikit-learn's OneHotEncoder before being fed into the model.</w:t>
      </w:r>
    </w:p>
    <w:p>
      <w:pPr>
        <w:pStyle w:val="Heading2"/>
        <w:spacing w:after="100" w:before="200"/>
      </w:pPr>
      <w:r>
        <w:rPr>
          <w:b/>
          <w:bCs/>
          <w:color w:val="2E75B6"/>
        </w:rPr>
        <w:t xml:space="preserve">4.4 Addressing Class Imbalance</w:t>
      </w:r>
    </w:p>
    <w:p>
      <w:pPr>
        <w:pStyle w:val="ListParagraph"/>
        <w:numPr>
          <w:ilvl w:val="0"/>
          <w:numId w:val="2"/>
        </w:numPr>
        <w:spacing w:after="80"/>
      </w:pPr>
      <w:r>
        <w:t xml:space="preserve">Use stratified train/test splitting to preserve the original class ratio in both sets.</w:t>
      </w:r>
    </w:p>
    <w:p>
      <w:pPr>
        <w:pStyle w:val="ListParagraph"/>
        <w:numPr>
          <w:ilvl w:val="0"/>
          <w:numId w:val="2"/>
        </w:numPr>
        <w:spacing w:after="80"/>
      </w:pPr>
      <w:r>
        <w:t xml:space="preserve">Apply SMOTE (Synthetic Minority Over-sampling Technique) from the imbalanced-learn library on the training set only, to avoid data leakage.</w:t>
      </w:r>
    </w:p>
    <w:p>
      <w:pPr>
        <w:pStyle w:val="ListParagraph"/>
        <w:numPr>
          <w:ilvl w:val="0"/>
          <w:numId w:val="2"/>
        </w:numPr>
        <w:spacing w:after="80"/>
      </w:pPr>
      <w:r>
        <w:t xml:space="preserve">Alternatively, use class_weight='balanced' in scikit-learn estimators as a lighter-weight approach for comparison.</w:t>
      </w:r>
    </w:p>
    <w:p>
      <w:pPr>
        <w:pStyle w:val="Heading1"/>
        <w:spacing w:after="150" w:before="300"/>
      </w:pPr>
      <w:r>
        <w:rPr>
          <w:b/>
          <w:bCs/>
          <w:color w:val="1F4E79"/>
        </w:rPr>
        <w:t xml:space="preserve">5. Cleaning &amp; Transformation Pipeline (Flow)</w:t>
      </w:r>
    </w:p>
    <w:p>
      <w:pPr>
        <w:shd w:fill="1F4E79" w:val="clear"/>
        <w:spacing w:after="40"/>
      </w:pPr>
      <w:r>
        <w:rPr>
          <w:b/>
          <w:bCs/>
          <w:color w:val="FFFFFF"/>
        </w:rPr>
        <w:t xml:space="preserve">[ Load raw CSV ]</w:t>
      </w:r>
    </w:p>
    <w:p>
      <w:pPr>
        <w:spacing w:after="40"/>
        <w:jc w:val="center"/>
      </w:pPr>
      <w:r>
        <w:rPr>
          <w:b/>
          <w:bCs/>
          <w:color w:val="1F4E79"/>
          <w:sz w:val="28"/>
          <w:szCs w:val="28"/>
        </w:rPr>
        <w:t xml:space="preserve">↓</w:t>
      </w:r>
    </w:p>
    <w:p>
      <w:pPr>
        <w:shd w:fill="1F4E79" w:val="clear"/>
        <w:spacing w:after="40"/>
      </w:pPr>
      <w:r>
        <w:rPr>
          <w:b/>
          <w:bCs/>
          <w:color w:val="FFFFFF"/>
        </w:rPr>
        <w:t xml:space="preserve">[ Replace disguised zeros with NaN ]</w:t>
      </w:r>
    </w:p>
    <w:p>
      <w:pPr>
        <w:spacing w:after="40"/>
        <w:jc w:val="center"/>
      </w:pPr>
      <w:r>
        <w:rPr>
          <w:b/>
          <w:bCs/>
          <w:color w:val="1F4E79"/>
          <w:sz w:val="28"/>
          <w:szCs w:val="28"/>
        </w:rPr>
        <w:t xml:space="preserve">↓</w:t>
      </w:r>
    </w:p>
    <w:p>
      <w:pPr>
        <w:shd w:fill="1F4E79" w:val="clear"/>
        <w:spacing w:after="40"/>
      </w:pPr>
      <w:r>
        <w:rPr>
          <w:b/>
          <w:bCs/>
          <w:color w:val="FFFFFF"/>
        </w:rPr>
        <w:t xml:space="preserve">[ Remove duplicates ]</w:t>
      </w:r>
    </w:p>
    <w:p>
      <w:pPr>
        <w:spacing w:after="40"/>
        <w:jc w:val="center"/>
      </w:pPr>
      <w:r>
        <w:rPr>
          <w:b/>
          <w:bCs/>
          <w:color w:val="1F4E79"/>
          <w:sz w:val="28"/>
          <w:szCs w:val="28"/>
        </w:rPr>
        <w:t xml:space="preserve">↓</w:t>
      </w:r>
    </w:p>
    <w:p>
      <w:pPr>
        <w:shd w:fill="1F4E79" w:val="clear"/>
        <w:spacing w:after="40"/>
      </w:pPr>
      <w:r>
        <w:rPr>
          <w:b/>
          <w:bCs/>
          <w:color w:val="FFFFFF"/>
        </w:rPr>
        <w:t xml:space="preserve">[ Impute missing values ]</w:t>
      </w:r>
    </w:p>
    <w:p>
      <w:pPr>
        <w:spacing w:after="40"/>
        <w:jc w:val="center"/>
      </w:pPr>
      <w:r>
        <w:rPr>
          <w:b/>
          <w:bCs/>
          <w:color w:val="1F4E79"/>
          <w:sz w:val="28"/>
          <w:szCs w:val="28"/>
        </w:rPr>
        <w:t xml:space="preserve">↓</w:t>
      </w:r>
    </w:p>
    <w:p>
      <w:pPr>
        <w:shd w:fill="1F4E79" w:val="clear"/>
        <w:spacing w:after="40"/>
      </w:pPr>
      <w:r>
        <w:rPr>
          <w:b/>
          <w:bCs/>
          <w:color w:val="FFFFFF"/>
        </w:rPr>
        <w:t xml:space="preserve">[ Detect &amp; treat outliers ]</w:t>
      </w:r>
    </w:p>
    <w:p>
      <w:pPr>
        <w:spacing w:after="40"/>
        <w:jc w:val="center"/>
      </w:pPr>
      <w:r>
        <w:rPr>
          <w:b/>
          <w:bCs/>
          <w:color w:val="1F4E79"/>
          <w:sz w:val="28"/>
          <w:szCs w:val="28"/>
        </w:rPr>
        <w:t xml:space="preserve">↓</w:t>
      </w:r>
    </w:p>
    <w:p>
      <w:pPr>
        <w:shd w:fill="1F4E79" w:val="clear"/>
        <w:spacing w:after="40"/>
      </w:pPr>
      <w:r>
        <w:rPr>
          <w:b/>
          <w:bCs/>
          <w:color w:val="FFFFFF"/>
        </w:rPr>
        <w:t xml:space="preserve">[ Engineer new features ]</w:t>
      </w:r>
    </w:p>
    <w:p>
      <w:pPr>
        <w:spacing w:after="40"/>
        <w:jc w:val="center"/>
      </w:pPr>
      <w:r>
        <w:rPr>
          <w:b/>
          <w:bCs/>
          <w:color w:val="1F4E79"/>
          <w:sz w:val="28"/>
          <w:szCs w:val="28"/>
        </w:rPr>
        <w:t xml:space="preserve">↓</w:t>
      </w:r>
    </w:p>
    <w:p>
      <w:pPr>
        <w:shd w:fill="1F4E79" w:val="clear"/>
        <w:spacing w:after="40"/>
      </w:pPr>
      <w:r>
        <w:rPr>
          <w:b/>
          <w:bCs/>
          <w:color w:val="FFFFFF"/>
        </w:rPr>
        <w:t xml:space="preserve">[ Encode categorical features ]</w:t>
      </w:r>
    </w:p>
    <w:p>
      <w:pPr>
        <w:spacing w:after="40"/>
        <w:jc w:val="center"/>
      </w:pPr>
      <w:r>
        <w:rPr>
          <w:b/>
          <w:bCs/>
          <w:color w:val="1F4E79"/>
          <w:sz w:val="28"/>
          <w:szCs w:val="28"/>
        </w:rPr>
        <w:t xml:space="preserve">↓</w:t>
      </w:r>
    </w:p>
    <w:p>
      <w:pPr>
        <w:shd w:fill="1F4E79" w:val="clear"/>
        <w:spacing w:after="40"/>
      </w:pPr>
      <w:r>
        <w:rPr>
          <w:b/>
          <w:bCs/>
          <w:color w:val="FFFFFF"/>
        </w:rPr>
        <w:t xml:space="preserve">[ Scale numeric features ]</w:t>
      </w:r>
    </w:p>
    <w:p>
      <w:pPr>
        <w:spacing w:after="40"/>
        <w:jc w:val="center"/>
      </w:pPr>
      <w:r>
        <w:rPr>
          <w:b/>
          <w:bCs/>
          <w:color w:val="1F4E79"/>
          <w:sz w:val="28"/>
          <w:szCs w:val="28"/>
        </w:rPr>
        <w:t xml:space="preserve">↓</w:t>
      </w:r>
    </w:p>
    <w:p>
      <w:pPr>
        <w:shd w:fill="1F4E79" w:val="clear"/>
        <w:spacing w:after="40"/>
      </w:pPr>
      <w:r>
        <w:rPr>
          <w:b/>
          <w:bCs/>
          <w:color w:val="FFFFFF"/>
        </w:rPr>
        <w:t xml:space="preserve">[ Split into train / test sets ]</w:t>
      </w:r>
    </w:p>
    <w:p>
      <w:pPr>
        <w:spacing w:after="40"/>
        <w:jc w:val="center"/>
      </w:pPr>
      <w:r>
        <w:rPr>
          <w:b/>
          <w:bCs/>
          <w:color w:val="1F4E79"/>
          <w:sz w:val="28"/>
          <w:szCs w:val="28"/>
        </w:rPr>
        <w:t xml:space="preserve">↓</w:t>
      </w:r>
    </w:p>
    <w:p>
      <w:pPr>
        <w:shd w:fill="1F4E79" w:val="clear"/>
        <w:spacing w:after="150"/>
      </w:pPr>
      <w:r>
        <w:rPr>
          <w:b/>
          <w:bCs/>
          <w:color w:val="FFFFFF"/>
        </w:rPr>
        <w:t xml:space="preserve">[ Persist cleaned dataset ]</w:t>
      </w:r>
    </w:p>
    <w:p>
      <w:pPr>
        <w:pStyle w:val="Heading1"/>
        <w:spacing w:after="150" w:before="300"/>
      </w:pPr>
      <w:r>
        <w:rPr>
          <w:b/>
          <w:bCs/>
          <w:color w:val="1F4E79"/>
        </w:rPr>
        <w:t xml:space="preserve">6. Anticipated Challenges and Mitigations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800"/>
        <w:gridCol w:w="6000"/>
      </w:tblGrid>
      <w:tr>
        <w:trPr>
          <w:tblHeader/>
        </w:trPr>
        <w:tc>
          <w:tcPr>
            <w:tcW w:type="dxa" w:w="3800"/>
            <w:shd w:fill="1F4E79" w:val="clear"/>
            <w:tcMar>
              <w:top w:type="dxa" w:w="80"/>
              <w:left w:type="dxa" w:w="100"/>
              <w:bottom w:type="dxa" w:w="80"/>
              <w:right w:type="dxa" w:w="100"/>
            </w:tcMar>
          </w:tcPr>
          <w:p>
            <w:r>
              <w:rPr>
                <w:b/>
                <w:bCs/>
                <w:color w:val="FFFFFF"/>
                <w:sz w:val="20"/>
                <w:szCs w:val="20"/>
              </w:rPr>
              <w:t xml:space="preserve">Challenge</w:t>
            </w:r>
          </w:p>
        </w:tc>
        <w:tc>
          <w:tcPr>
            <w:tcW w:type="dxa" w:w="6000"/>
            <w:shd w:fill="1F4E79" w:val="clear"/>
            <w:tcMar>
              <w:top w:type="dxa" w:w="80"/>
              <w:left w:type="dxa" w:w="100"/>
              <w:bottom w:type="dxa" w:w="80"/>
              <w:right w:type="dxa" w:w="100"/>
            </w:tcMar>
          </w:tcPr>
          <w:p>
            <w:r>
              <w:rPr>
                <w:b/>
                <w:bCs/>
                <w:color w:val="FFFFFF"/>
                <w:sz w:val="20"/>
                <w:szCs w:val="20"/>
              </w:rPr>
              <w:t xml:space="preserve">Mitigation</w:t>
            </w:r>
          </w:p>
        </w:tc>
      </w:tr>
      <w:tr>
        <w:tc>
          <w:tcPr>
            <w:tcW w:type="dxa" w:w="3800"/>
            <w:shd w:fill="FFFFFF" w:val="clear"/>
            <w:tcMar>
              <w:top w:type="dxa" w:w="80"/>
              <w:left w:type="dxa" w:w="100"/>
              <w:bottom w:type="dxa" w:w="80"/>
              <w:right w:type="dxa" w:w="100"/>
            </w:tcMar>
          </w:tcPr>
          <w:p>
            <w:r>
              <w:rPr>
                <w:sz w:val="20"/>
                <w:szCs w:val="20"/>
              </w:rPr>
              <w:t xml:space="preserve">Imputation introducing bias</w:t>
            </w:r>
          </w:p>
        </w:tc>
        <w:tc>
          <w:tcPr>
            <w:tcW w:type="dxa" w:w="6000"/>
            <w:shd w:fill="FFFFFF" w:val="clear"/>
            <w:tcMar>
              <w:top w:type="dxa" w:w="80"/>
              <w:left w:type="dxa" w:w="100"/>
              <w:bottom w:type="dxa" w:w="80"/>
              <w:right w:type="dxa" w:w="100"/>
            </w:tcMar>
          </w:tcPr>
          <w:p>
            <w:r>
              <w:rPr>
                <w:sz w:val="20"/>
                <w:szCs w:val="20"/>
              </w:rPr>
              <w:t xml:space="preserve">Compare model performance with median vs. KNN imputation to check for significant divergence.</w:t>
            </w:r>
          </w:p>
        </w:tc>
      </w:tr>
      <w:tr>
        <w:tc>
          <w:tcPr>
            <w:tcW w:type="dxa" w:w="3800"/>
            <w:shd w:fill="DDEBF7" w:val="clear"/>
            <w:tcMar>
              <w:top w:type="dxa" w:w="80"/>
              <w:left w:type="dxa" w:w="100"/>
              <w:bottom w:type="dxa" w:w="80"/>
              <w:right w:type="dxa" w:w="100"/>
            </w:tcMar>
          </w:tcPr>
          <w:p>
            <w:r>
              <w:rPr>
                <w:sz w:val="20"/>
                <w:szCs w:val="20"/>
              </w:rPr>
              <w:t xml:space="preserve">Data leakage during scaling/imputation</w:t>
            </w:r>
          </w:p>
        </w:tc>
        <w:tc>
          <w:tcPr>
            <w:tcW w:type="dxa" w:w="6000"/>
            <w:shd w:fill="DDEBF7" w:val="clear"/>
            <w:tcMar>
              <w:top w:type="dxa" w:w="80"/>
              <w:left w:type="dxa" w:w="100"/>
              <w:bottom w:type="dxa" w:w="80"/>
              <w:right w:type="dxa" w:w="100"/>
            </w:tcMar>
          </w:tcPr>
          <w:p>
            <w:r>
              <w:rPr>
                <w:sz w:val="20"/>
                <w:szCs w:val="20"/>
              </w:rPr>
              <w:t xml:space="preserve">Fit all transformers only on the training split, then apply (transform-only) to the test split.</w:t>
            </w:r>
          </w:p>
        </w:tc>
      </w:tr>
      <w:tr>
        <w:tc>
          <w:tcPr>
            <w:tcW w:type="dxa" w:w="3800"/>
            <w:shd w:fill="FFFFFF" w:val="clear"/>
            <w:tcMar>
              <w:top w:type="dxa" w:w="80"/>
              <w:left w:type="dxa" w:w="100"/>
              <w:bottom w:type="dxa" w:w="80"/>
              <w:right w:type="dxa" w:w="100"/>
            </w:tcMar>
          </w:tcPr>
          <w:p>
            <w:r>
              <w:rPr>
                <w:sz w:val="20"/>
                <w:szCs w:val="20"/>
              </w:rPr>
              <w:t xml:space="preserve">Loss of signal from outlier capping</w:t>
            </w:r>
          </w:p>
        </w:tc>
        <w:tc>
          <w:tcPr>
            <w:tcW w:type="dxa" w:w="6000"/>
            <w:shd w:fill="FFFFFF" w:val="clear"/>
            <w:tcMar>
              <w:top w:type="dxa" w:w="80"/>
              <w:left w:type="dxa" w:w="100"/>
              <w:bottom w:type="dxa" w:w="80"/>
              <w:right w:type="dxa" w:w="100"/>
            </w:tcMar>
          </w:tcPr>
          <w:p>
            <w:r>
              <w:rPr>
                <w:sz w:val="20"/>
                <w:szCs w:val="20"/>
              </w:rPr>
              <w:t xml:space="preserve">Retain a copy of the raw values for reference and validate model performance both with and without capping.</w:t>
            </w:r>
          </w:p>
        </w:tc>
      </w:tr>
      <w:tr>
        <w:tc>
          <w:tcPr>
            <w:tcW w:type="dxa" w:w="3800"/>
            <w:shd w:fill="DDEBF7" w:val="clear"/>
            <w:tcMar>
              <w:top w:type="dxa" w:w="80"/>
              <w:left w:type="dxa" w:w="100"/>
              <w:bottom w:type="dxa" w:w="80"/>
              <w:right w:type="dxa" w:w="100"/>
            </w:tcMar>
          </w:tcPr>
          <w:p>
            <w:r>
              <w:rPr>
                <w:sz w:val="20"/>
                <w:szCs w:val="20"/>
              </w:rPr>
              <w:t xml:space="preserve">Synthetic samples from SMOTE not reflecting reality</w:t>
            </w:r>
          </w:p>
        </w:tc>
        <w:tc>
          <w:tcPr>
            <w:tcW w:type="dxa" w:w="6000"/>
            <w:shd w:fill="DDEBF7" w:val="clear"/>
            <w:tcMar>
              <w:top w:type="dxa" w:w="80"/>
              <w:left w:type="dxa" w:w="100"/>
              <w:bottom w:type="dxa" w:w="80"/>
              <w:right w:type="dxa" w:w="100"/>
            </w:tcMar>
          </w:tcPr>
          <w:p>
            <w:r>
              <w:rPr>
                <w:sz w:val="20"/>
                <w:szCs w:val="20"/>
              </w:rPr>
              <w:t xml:space="preserve">Validate the balanced training set visually and compare model recall/precision against the class-weighted alternative.</w:t>
            </w:r>
          </w:p>
        </w:tc>
      </w:tr>
    </w:tbl>
    <w:p>
      <w:pPr>
        <w:pStyle w:val="Heading1"/>
        <w:spacing w:after="150" w:before="300"/>
      </w:pPr>
      <w:r>
        <w:rPr>
          <w:b/>
          <w:bCs/>
          <w:color w:val="1F4E79"/>
        </w:rPr>
        <w:t xml:space="preserve">7. Conclusion</w:t>
      </w:r>
    </w:p>
    <w:p>
      <w:pPr>
        <w:spacing w:after="150"/>
      </w:pPr>
      <w:r>
        <w:t xml:space="preserve">This document defines a comprehensive, reproducible cleaning and transformation strategy for the Disease Prediction System dataset. By systematically addressing missing values, duplicates, outliers, and scale inconsistencies — and by carefully engineering new predictive features — the resulting dataset will be well-prepared for the exploratory data analysis and visualisation work planned for Week 3, and the model training work planned for Week 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2026-09-02T06:12:10.546Z</dcterms:created>
  <dcterms:modified xsi:type="dcterms:W3CDTF">2026-09-02T06:12:10.546Z</dcterms:modified>
</cp:coreProperties>
</file>

<file path=docProps/custom.xml><?xml version="1.0" encoding="utf-8"?>
<Properties xmlns="http://schemas.openxmlformats.org/officeDocument/2006/custom-properties" xmlns:vt="http://schemas.openxmlformats.org/officeDocument/2006/docPropsVTypes"/>
</file>