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F4E79"/>
          <w:sz w:val="44"/>
          <w:szCs w:val="44"/>
        </w:rPr>
        <w:t xml:space="preserve">Disease Prediction System</w:t>
      </w:r>
    </w:p>
    <w:p>
      <w:pPr>
        <w:spacing w:after="600"/>
        <w:jc w:val="center"/>
      </w:pPr>
      <w:r>
        <w:rPr>
          <w:i/>
          <w:iCs/>
          <w:color w:val="555555"/>
          <w:sz w:val="28"/>
          <w:szCs w:val="28"/>
        </w:rPr>
        <w:t xml:space="preserve">Week 1: Project Planning and Dataset Scoping</w:t>
      </w:r>
    </w:p>
    <w:p>
      <w:pPr>
        <w:spacing w:after="100"/>
        <w:jc w:val="center"/>
      </w:pPr>
      <w:r>
        <w:rPr>
          <w:sz w:val="22"/>
          <w:szCs w:val="22"/>
        </w:rPr>
        <w:t xml:space="preserve">Virtual Data Science Apprentice – Python Specialist Intern</w:t>
      </w:r>
    </w:p>
    <w:p>
      <w:pPr>
        <w:spacing w:after="100"/>
        <w:jc w:val="center"/>
      </w:pPr>
      <w:r>
        <w:rPr>
          <w:sz w:val="22"/>
          <w:szCs w:val="22"/>
        </w:rPr>
        <w:t xml:space="preserve">NSDC YuvaIntern Program</w:t>
      </w:r>
    </w:p>
    <w:p>
      <w:pPr>
        <w:spacing w:after="100"/>
        <w:jc w:val="center"/>
      </w:pPr>
      <w:r>
        <w:rPr>
          <w:sz w:val="22"/>
          <w:szCs w:val="22"/>
        </w:rPr>
        <w:t xml:space="preserve">Submission Date: Week 1</w:t>
      </w:r>
    </w:p>
    <w:p>
      <w:pPr>
        <w:pageBreakBefore/>
      </w:pPr>
    </w:p>
    <w:p>
      <w:pPr>
        <w:pStyle w:val="Heading1"/>
        <w:spacing w:after="150" w:before="300"/>
      </w:pPr>
      <w:r>
        <w:rPr>
          <w:b/>
          <w:bCs/>
          <w:color w:val="1F4E79"/>
        </w:rPr>
        <w:t xml:space="preserve">1. Introduction</w:t>
      </w:r>
    </w:p>
    <w:p>
      <w:pPr>
        <w:spacing w:after="150"/>
      </w:pPr>
      <w:r>
        <w:t xml:space="preserve">This document presents the project proposal for the “Disease Prediction System”, a data science initiative undertaken as part of the Week 1 deliverable for the Virtual Data Science Apprentice – Python Specialist Internship. The project aims to build a machine-learning-based system capable of predicting the likelihood of a disease (e.g., diabetes, heart disease, or a similar chronic condition) in a patient based on clinical and demographic parameters. This proposal defines the objectives, scope, candidate datasets, methodology, and workflow that will guide the subsequent three weeks of work.</w:t>
      </w:r>
    </w:p>
    <w:p>
      <w:pPr>
        <w:pStyle w:val="Heading1"/>
        <w:spacing w:after="150" w:before="300"/>
      </w:pPr>
      <w:r>
        <w:rPr>
          <w:b/>
          <w:bCs/>
          <w:color w:val="1F4E79"/>
        </w:rPr>
        <w:t xml:space="preserve">2. Project Objectives and Goals</w:t>
      </w:r>
    </w:p>
    <w:p>
      <w:pPr>
        <w:spacing w:after="150"/>
      </w:pPr>
      <w:r>
        <w:t xml:space="preserve">The primary objective of this project is to design and plan a robust, reproducible pipeline that takes raw patient health data and produces a reliable disease-risk prediction. Specific goals include:</w:t>
      </w:r>
    </w:p>
    <w:p>
      <w:pPr>
        <w:pStyle w:val="ListParagraph"/>
        <w:numPr>
          <w:ilvl w:val="0"/>
          <w:numId w:val="2"/>
        </w:numPr>
        <w:spacing w:after="80"/>
      </w:pPr>
      <w:r>
        <w:t xml:space="preserve">Identify a publicly available, well-documented healthcare dataset suitable for supervised classification.</w:t>
      </w:r>
    </w:p>
    <w:p>
      <w:pPr>
        <w:pStyle w:val="ListParagraph"/>
        <w:numPr>
          <w:ilvl w:val="0"/>
          <w:numId w:val="2"/>
        </w:numPr>
        <w:spacing w:after="80"/>
      </w:pPr>
      <w:r>
        <w:t xml:space="preserve">Define a clear problem statement: predicting the presence or absence (or risk level) of a target disease from patient attributes.</w:t>
      </w:r>
    </w:p>
    <w:p>
      <w:pPr>
        <w:pStyle w:val="ListParagraph"/>
        <w:numPr>
          <w:ilvl w:val="0"/>
          <w:numId w:val="2"/>
        </w:numPr>
        <w:spacing w:after="80"/>
      </w:pPr>
      <w:r>
        <w:t xml:space="preserve">Establish a structured, end-to-end analytical workflow covering data acquisition, cleaning, exploratory analysis, modelling, and reporting.</w:t>
      </w:r>
    </w:p>
    <w:p>
      <w:pPr>
        <w:pStyle w:val="ListParagraph"/>
        <w:numPr>
          <w:ilvl w:val="0"/>
          <w:numId w:val="2"/>
        </w:numPr>
        <w:spacing w:after="80"/>
      </w:pPr>
      <w:r>
        <w:t xml:space="preserve">Select appropriate Python tools and libraries for each stage of the pipeline.</w:t>
      </w:r>
    </w:p>
    <w:p>
      <w:pPr>
        <w:pStyle w:val="ListParagraph"/>
        <w:numPr>
          <w:ilvl w:val="0"/>
          <w:numId w:val="2"/>
        </w:numPr>
        <w:spacing w:after="80"/>
      </w:pPr>
      <w:r>
        <w:t xml:space="preserve">Define success criteria and validation checkpoints to measure the quality of the final model.</w:t>
      </w:r>
    </w:p>
    <w:p>
      <w:pPr>
        <w:pStyle w:val="ListParagraph"/>
        <w:numPr>
          <w:ilvl w:val="0"/>
          <w:numId w:val="2"/>
        </w:numPr>
        <w:spacing w:after="80"/>
      </w:pPr>
      <w:r>
        <w:t xml:space="preserve">Ensure the approach is ethical, transparent, and mindful of the limitations of using health data for prediction.</w:t>
      </w:r>
    </w:p>
    <w:p>
      <w:pPr>
        <w:pStyle w:val="Heading1"/>
        <w:spacing w:after="150" w:before="300"/>
      </w:pPr>
      <w:r>
        <w:rPr>
          <w:b/>
          <w:bCs/>
          <w:color w:val="1F4E79"/>
        </w:rPr>
        <w:t xml:space="preserve">3. Scope of the Analysis</w:t>
      </w:r>
    </w:p>
    <w:p>
      <w:pPr>
        <w:spacing w:after="150"/>
      </w:pPr>
      <w:r>
        <w:t xml:space="preserve">The scope of this project is limited to a supervised binary/multi-class classification problem using structured (tabular) clinical data. The project will not involve image-based diagnosis (e.g., X-rays or MRI scans), real-time patient monitoring, or deployment to a live clinical environment. The output of this project is an analytical plan and, in later weeks, a trained and evaluated model artifact together with supporting documentation — it is an academic/portfolio exercise and is not intended for actual medical use.</w:t>
      </w:r>
    </w:p>
    <w:p>
      <w:pPr>
        <w:pStyle w:val="Heading1"/>
        <w:spacing w:after="150" w:before="300"/>
      </w:pPr>
      <w:r>
        <w:rPr>
          <w:b/>
          <w:bCs/>
          <w:color w:val="1F4E79"/>
        </w:rPr>
        <w:t xml:space="preserve">4. Anticipated Challenges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800"/>
      </w:tblGrid>
      <w:tr>
        <w:trPr>
          <w:tblHeader/>
        </w:trPr>
        <w:tc>
          <w:tcPr>
            <w:tcW w:type="dxa" w:w="2400"/>
            <w:shd w:fill="1F4E79" w:val="clear"/>
            <w:tcMar>
              <w:top w:type="dxa" w:w="80"/>
              <w:left w:type="dxa" w:w="100"/>
              <w:bottom w:type="dxa" w:w="80"/>
              <w:right w:type="dxa" w:w="100"/>
            </w:tcMar>
          </w:tcPr>
          <w:p>
            <w:r>
              <w:rPr>
                <w:b/>
                <w:bCs/>
                <w:color w:val="FFFFFF"/>
                <w:sz w:val="20"/>
                <w:szCs w:val="20"/>
              </w:rPr>
              <w:t xml:space="preserve">Challenge</w:t>
            </w:r>
          </w:p>
        </w:tc>
        <w:tc>
          <w:tcPr>
            <w:tcW w:type="dxa" w:w="3600"/>
            <w:shd w:fill="1F4E79" w:val="clear"/>
            <w:tcMar>
              <w:top w:type="dxa" w:w="80"/>
              <w:left w:type="dxa" w:w="100"/>
              <w:bottom w:type="dxa" w:w="80"/>
              <w:right w:type="dxa" w:w="100"/>
            </w:tcMar>
          </w:tcPr>
          <w:p>
            <w:r>
              <w:rPr>
                <w:b/>
                <w:bCs/>
                <w:color w:val="FFFFFF"/>
                <w:sz w:val="20"/>
                <w:szCs w:val="20"/>
              </w:rPr>
              <w:t xml:space="preserve">Description</w:t>
            </w:r>
          </w:p>
        </w:tc>
        <w:tc>
          <w:tcPr>
            <w:tcW w:type="dxa" w:w="3800"/>
            <w:shd w:fill="1F4E79" w:val="clear"/>
            <w:tcMar>
              <w:top w:type="dxa" w:w="80"/>
              <w:left w:type="dxa" w:w="100"/>
              <w:bottom w:type="dxa" w:w="80"/>
              <w:right w:type="dxa" w:w="100"/>
            </w:tcMar>
          </w:tcPr>
          <w:p>
            <w:r>
              <w:rPr>
                <w:b/>
                <w:bCs/>
                <w:color w:val="FFFFFF"/>
                <w:sz w:val="20"/>
                <w:szCs w:val="20"/>
              </w:rPr>
              <w:t xml:space="preserve">Mitigation Strategy</w:t>
            </w:r>
          </w:p>
        </w:tc>
      </w:tr>
      <w:tr>
        <w:tc>
          <w:tcPr>
            <w:tcW w:type="dxa" w:w="2400"/>
            <w:shd w:fill="FFFFFF" w:val="clear"/>
            <w:tcMar>
              <w:top w:type="dxa" w:w="80"/>
              <w:left w:type="dxa" w:w="100"/>
              <w:bottom w:type="dxa" w:w="80"/>
              <w:right w:type="dxa" w:w="100"/>
            </w:tcMar>
          </w:tcPr>
          <w:p>
            <w:r>
              <w:rPr>
                <w:sz w:val="20"/>
                <w:szCs w:val="20"/>
              </w:rPr>
              <w:t xml:space="preserve">Class imbalance</w:t>
            </w:r>
          </w:p>
        </w:tc>
        <w:tc>
          <w:tcPr>
            <w:tcW w:type="dxa" w:w="3600"/>
            <w:shd w:fill="FFFFFF" w:val="clear"/>
            <w:tcMar>
              <w:top w:type="dxa" w:w="80"/>
              <w:left w:type="dxa" w:w="100"/>
              <w:bottom w:type="dxa" w:w="80"/>
              <w:right w:type="dxa" w:w="100"/>
            </w:tcMar>
          </w:tcPr>
          <w:p>
            <w:r>
              <w:rPr>
                <w:sz w:val="20"/>
                <w:szCs w:val="20"/>
              </w:rPr>
              <w:t xml:space="preserve">Disease-positive cases are often under-represented, which can bias the model toward the majority class.</w:t>
            </w:r>
          </w:p>
        </w:tc>
        <w:tc>
          <w:tcPr>
            <w:tcW w:type="dxa" w:w="3800"/>
            <w:shd w:fill="FFFFFF" w:val="clear"/>
            <w:tcMar>
              <w:top w:type="dxa" w:w="80"/>
              <w:left w:type="dxa" w:w="100"/>
              <w:bottom w:type="dxa" w:w="80"/>
              <w:right w:type="dxa" w:w="100"/>
            </w:tcMar>
          </w:tcPr>
          <w:p>
            <w:r>
              <w:rPr>
                <w:sz w:val="20"/>
                <w:szCs w:val="20"/>
              </w:rPr>
              <w:t xml:space="preserve">Use stratified sampling, resampling (SMOTE), and class-weighted loss functions.</w:t>
            </w:r>
          </w:p>
        </w:tc>
      </w:tr>
      <w:tr>
        <w:tc>
          <w:tcPr>
            <w:tcW w:type="dxa" w:w="2400"/>
            <w:shd w:fill="DDEBF7" w:val="clear"/>
            <w:tcMar>
              <w:top w:type="dxa" w:w="80"/>
              <w:left w:type="dxa" w:w="100"/>
              <w:bottom w:type="dxa" w:w="80"/>
              <w:right w:type="dxa" w:w="100"/>
            </w:tcMar>
          </w:tcPr>
          <w:p>
            <w:r>
              <w:rPr>
                <w:sz w:val="20"/>
                <w:szCs w:val="20"/>
              </w:rPr>
              <w:t xml:space="preserve">Missing / inconsistent data</w:t>
            </w:r>
          </w:p>
        </w:tc>
        <w:tc>
          <w:tcPr>
            <w:tcW w:type="dxa" w:w="3600"/>
            <w:shd w:fill="DDEBF7" w:val="clear"/>
            <w:tcMar>
              <w:top w:type="dxa" w:w="80"/>
              <w:left w:type="dxa" w:w="100"/>
              <w:bottom w:type="dxa" w:w="80"/>
              <w:right w:type="dxa" w:w="100"/>
            </w:tcMar>
          </w:tcPr>
          <w:p>
            <w:r>
              <w:rPr>
                <w:sz w:val="20"/>
                <w:szCs w:val="20"/>
              </w:rPr>
              <w:t xml:space="preserve">Clinical datasets frequently contain missing lab values or inconsistent units.</w:t>
            </w:r>
          </w:p>
        </w:tc>
        <w:tc>
          <w:tcPr>
            <w:tcW w:type="dxa" w:w="3800"/>
            <w:shd w:fill="DDEBF7" w:val="clear"/>
            <w:tcMar>
              <w:top w:type="dxa" w:w="80"/>
              <w:left w:type="dxa" w:w="100"/>
              <w:bottom w:type="dxa" w:w="80"/>
              <w:right w:type="dxa" w:w="100"/>
            </w:tcMar>
          </w:tcPr>
          <w:p>
            <w:r>
              <w:rPr>
                <w:sz w:val="20"/>
                <w:szCs w:val="20"/>
              </w:rPr>
              <w:t xml:space="preserve">Apply systematic imputation strategies; documented in Week 2 task.</w:t>
            </w:r>
          </w:p>
        </w:tc>
      </w:tr>
      <w:tr>
        <w:tc>
          <w:tcPr>
            <w:tcW w:type="dxa" w:w="2400"/>
            <w:shd w:fill="FFFFFF" w:val="clear"/>
            <w:tcMar>
              <w:top w:type="dxa" w:w="80"/>
              <w:left w:type="dxa" w:w="100"/>
              <w:bottom w:type="dxa" w:w="80"/>
              <w:right w:type="dxa" w:w="100"/>
            </w:tcMar>
          </w:tcPr>
          <w:p>
            <w:r>
              <w:rPr>
                <w:sz w:val="20"/>
                <w:szCs w:val="20"/>
              </w:rPr>
              <w:t xml:space="preserve">Feature interpretability</w:t>
            </w:r>
          </w:p>
        </w:tc>
        <w:tc>
          <w:tcPr>
            <w:tcW w:type="dxa" w:w="3600"/>
            <w:shd w:fill="FFFFFF" w:val="clear"/>
            <w:tcMar>
              <w:top w:type="dxa" w:w="80"/>
              <w:left w:type="dxa" w:w="100"/>
              <w:bottom w:type="dxa" w:w="80"/>
              <w:right w:type="dxa" w:w="100"/>
            </w:tcMar>
          </w:tcPr>
          <w:p>
            <w:r>
              <w:rPr>
                <w:sz w:val="20"/>
                <w:szCs w:val="20"/>
              </w:rPr>
              <w:t xml:space="preserve">Stakeholders need to trust and understand model predictions.</w:t>
            </w:r>
          </w:p>
        </w:tc>
        <w:tc>
          <w:tcPr>
            <w:tcW w:type="dxa" w:w="3800"/>
            <w:shd w:fill="FFFFFF" w:val="clear"/>
            <w:tcMar>
              <w:top w:type="dxa" w:w="80"/>
              <w:left w:type="dxa" w:w="100"/>
              <w:bottom w:type="dxa" w:w="80"/>
              <w:right w:type="dxa" w:w="100"/>
            </w:tcMar>
          </w:tcPr>
          <w:p>
            <w:r>
              <w:rPr>
                <w:sz w:val="20"/>
                <w:szCs w:val="20"/>
              </w:rPr>
              <w:t xml:space="preserve">Prefer interpretable models initially; use SHAP/feature-importance for complex models.</w:t>
            </w:r>
          </w:p>
        </w:tc>
      </w:tr>
      <w:tr>
        <w:tc>
          <w:tcPr>
            <w:tcW w:type="dxa" w:w="2400"/>
            <w:shd w:fill="DDEBF7" w:val="clear"/>
            <w:tcMar>
              <w:top w:type="dxa" w:w="80"/>
              <w:left w:type="dxa" w:w="100"/>
              <w:bottom w:type="dxa" w:w="80"/>
              <w:right w:type="dxa" w:w="100"/>
            </w:tcMar>
          </w:tcPr>
          <w:p>
            <w:r>
              <w:rPr>
                <w:sz w:val="20"/>
                <w:szCs w:val="20"/>
              </w:rPr>
              <w:t xml:space="preserve">Overfitting on a small dataset</w:t>
            </w:r>
          </w:p>
        </w:tc>
        <w:tc>
          <w:tcPr>
            <w:tcW w:type="dxa" w:w="3600"/>
            <w:shd w:fill="DDEBF7" w:val="clear"/>
            <w:tcMar>
              <w:top w:type="dxa" w:w="80"/>
              <w:left w:type="dxa" w:w="100"/>
              <w:bottom w:type="dxa" w:w="80"/>
              <w:right w:type="dxa" w:w="100"/>
            </w:tcMar>
          </w:tcPr>
          <w:p>
            <w:r>
              <w:rPr>
                <w:sz w:val="20"/>
                <w:szCs w:val="20"/>
              </w:rPr>
              <w:t xml:space="preserve">Public health datasets can be modest in size (a few hundred to a few thousand rows).</w:t>
            </w:r>
          </w:p>
        </w:tc>
        <w:tc>
          <w:tcPr>
            <w:tcW w:type="dxa" w:w="3800"/>
            <w:shd w:fill="DDEBF7" w:val="clear"/>
            <w:tcMar>
              <w:top w:type="dxa" w:w="80"/>
              <w:left w:type="dxa" w:w="100"/>
              <w:bottom w:type="dxa" w:w="80"/>
              <w:right w:type="dxa" w:w="100"/>
            </w:tcMar>
          </w:tcPr>
          <w:p>
            <w:r>
              <w:rPr>
                <w:sz w:val="20"/>
                <w:szCs w:val="20"/>
              </w:rPr>
              <w:t xml:space="preserve">Use cross-validation, regularisation, and hold-out test sets.</w:t>
            </w:r>
          </w:p>
        </w:tc>
      </w:tr>
      <w:tr>
        <w:tc>
          <w:tcPr>
            <w:tcW w:type="dxa" w:w="2400"/>
            <w:shd w:fill="FFFFFF" w:val="clear"/>
            <w:tcMar>
              <w:top w:type="dxa" w:w="80"/>
              <w:left w:type="dxa" w:w="100"/>
              <w:bottom w:type="dxa" w:w="80"/>
              <w:right w:type="dxa" w:w="100"/>
            </w:tcMar>
          </w:tcPr>
          <w:p>
            <w:r>
              <w:rPr>
                <w:sz w:val="20"/>
                <w:szCs w:val="20"/>
              </w:rPr>
              <w:t xml:space="preserve">Data privacy and ethics</w:t>
            </w:r>
          </w:p>
        </w:tc>
        <w:tc>
          <w:tcPr>
            <w:tcW w:type="dxa" w:w="3600"/>
            <w:shd w:fill="FFFFFF" w:val="clear"/>
            <w:tcMar>
              <w:top w:type="dxa" w:w="80"/>
              <w:left w:type="dxa" w:w="100"/>
              <w:bottom w:type="dxa" w:w="80"/>
              <w:right w:type="dxa" w:w="100"/>
            </w:tcMar>
          </w:tcPr>
          <w:p>
            <w:r>
              <w:rPr>
                <w:sz w:val="20"/>
                <w:szCs w:val="20"/>
              </w:rPr>
              <w:t xml:space="preserve">Health data is sensitive even when anonymised.</w:t>
            </w:r>
          </w:p>
        </w:tc>
        <w:tc>
          <w:tcPr>
            <w:tcW w:type="dxa" w:w="3800"/>
            <w:shd w:fill="FFFFFF" w:val="clear"/>
            <w:tcMar>
              <w:top w:type="dxa" w:w="80"/>
              <w:left w:type="dxa" w:w="100"/>
              <w:bottom w:type="dxa" w:w="80"/>
              <w:right w:type="dxa" w:w="100"/>
            </w:tcMar>
          </w:tcPr>
          <w:p>
            <w:r>
              <w:rPr>
                <w:sz w:val="20"/>
                <w:szCs w:val="20"/>
              </w:rPr>
              <w:t xml:space="preserve">Use only de-identified public datasets and avoid re-identification attempts.</w:t>
            </w:r>
          </w:p>
        </w:tc>
      </w:tr>
    </w:tbl>
    <w:p>
      <w:pPr>
        <w:pStyle w:val="Heading1"/>
        <w:spacing w:after="150" w:before="300"/>
      </w:pPr>
      <w:r>
        <w:rPr>
          <w:b/>
          <w:bCs/>
          <w:color w:val="1F4E79"/>
        </w:rPr>
        <w:t xml:space="preserve">5. Candidate Public Datasets</w:t>
      </w:r>
    </w:p>
    <w:p>
      <w:pPr>
        <w:spacing w:after="150"/>
      </w:pPr>
      <w:r>
        <w:t xml:space="preserve">Several publicly available datasets were evaluated for suitability. The comparison below informed the final dataset selection.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400"/>
      </w:tblGrid>
      <w:tr>
        <w:trPr>
          <w:tblHeader/>
        </w:trPr>
        <w:tc>
          <w:tcPr>
            <w:tcW w:type="dxa" w:w="3200"/>
            <w:shd w:fill="1F4E79" w:val="clear"/>
            <w:tcMar>
              <w:top w:type="dxa" w:w="80"/>
              <w:left w:type="dxa" w:w="100"/>
              <w:bottom w:type="dxa" w:w="80"/>
              <w:right w:type="dxa" w:w="100"/>
            </w:tcMar>
          </w:tcPr>
          <w:p>
            <w:r>
              <w:rPr>
                <w:b/>
                <w:bCs/>
                <w:color w:val="FFFFFF"/>
                <w:sz w:val="20"/>
                <w:szCs w:val="20"/>
              </w:rPr>
              <w:t xml:space="preserve">Dataset</w:t>
            </w:r>
          </w:p>
        </w:tc>
        <w:tc>
          <w:tcPr>
            <w:tcW w:type="dxa" w:w="2200"/>
            <w:shd w:fill="1F4E79" w:val="clear"/>
            <w:tcMar>
              <w:top w:type="dxa" w:w="80"/>
              <w:left w:type="dxa" w:w="100"/>
              <w:bottom w:type="dxa" w:w="80"/>
              <w:right w:type="dxa" w:w="100"/>
            </w:tcMar>
          </w:tcPr>
          <w:p>
            <w:r>
              <w:rPr>
                <w:b/>
                <w:bCs/>
                <w:color w:val="FFFFFF"/>
                <w:sz w:val="20"/>
                <w:szCs w:val="20"/>
              </w:rPr>
              <w:t xml:space="preserve">Size</w:t>
            </w:r>
          </w:p>
        </w:tc>
        <w:tc>
          <w:tcPr>
            <w:tcW w:type="dxa" w:w="4400"/>
            <w:shd w:fill="1F4E79" w:val="clear"/>
            <w:tcMar>
              <w:top w:type="dxa" w:w="80"/>
              <w:left w:type="dxa" w:w="100"/>
              <w:bottom w:type="dxa" w:w="80"/>
              <w:right w:type="dxa" w:w="100"/>
            </w:tcMar>
          </w:tcPr>
          <w:p>
            <w:r>
              <w:rPr>
                <w:b/>
                <w:bCs/>
                <w:color w:val="FFFFFF"/>
                <w:sz w:val="20"/>
                <w:szCs w:val="20"/>
              </w:rPr>
              <w:t xml:space="preserve">Rationale</w:t>
            </w:r>
          </w:p>
        </w:tc>
      </w:tr>
      <w:tr>
        <w:tc>
          <w:tcPr>
            <w:tcW w:type="dxa" w:w="3200"/>
            <w:shd w:fill="FFFFFF" w:val="clear"/>
            <w:tcMar>
              <w:top w:type="dxa" w:w="80"/>
              <w:left w:type="dxa" w:w="100"/>
              <w:bottom w:type="dxa" w:w="80"/>
              <w:right w:type="dxa" w:w="100"/>
            </w:tcMar>
          </w:tcPr>
          <w:p>
            <w:r>
              <w:rPr>
                <w:sz w:val="20"/>
                <w:szCs w:val="20"/>
              </w:rPr>
              <w:t xml:space="preserve">UCI Heart Disease Dataset (Cleveland)</w:t>
            </w:r>
          </w:p>
        </w:tc>
        <w:tc>
          <w:tcPr>
            <w:tcW w:type="dxa" w:w="2200"/>
            <w:shd w:fill="FFFFFF" w:val="clear"/>
            <w:tcMar>
              <w:top w:type="dxa" w:w="80"/>
              <w:left w:type="dxa" w:w="100"/>
              <w:bottom w:type="dxa" w:w="80"/>
              <w:right w:type="dxa" w:w="100"/>
            </w:tcMar>
          </w:tcPr>
          <w:p>
            <w:r>
              <w:rPr>
                <w:sz w:val="20"/>
                <w:szCs w:val="20"/>
              </w:rPr>
              <w:t xml:space="preserve">~303 rows, 14 features</w:t>
            </w:r>
          </w:p>
        </w:tc>
        <w:tc>
          <w:tcPr>
            <w:tcW w:type="dxa" w:w="4400"/>
            <w:shd w:fill="FFFFFF" w:val="clear"/>
            <w:tcMar>
              <w:top w:type="dxa" w:w="80"/>
              <w:left w:type="dxa" w:w="100"/>
              <w:bottom w:type="dxa" w:w="80"/>
              <w:right w:type="dxa" w:w="100"/>
            </w:tcMar>
          </w:tcPr>
          <w:p>
            <w:r>
              <w:rPr>
                <w:sz w:val="20"/>
                <w:szCs w:val="20"/>
              </w:rPr>
              <w:t xml:space="preserve">Well-studied benchmark dataset; clean structure; ideal for binary classification (presence/absence of heart disease).</w:t>
            </w:r>
          </w:p>
        </w:tc>
      </w:tr>
      <w:tr>
        <w:tc>
          <w:tcPr>
            <w:tcW w:type="dxa" w:w="3200"/>
            <w:shd w:fill="DDEBF7" w:val="clear"/>
            <w:tcMar>
              <w:top w:type="dxa" w:w="80"/>
              <w:left w:type="dxa" w:w="100"/>
              <w:bottom w:type="dxa" w:w="80"/>
              <w:right w:type="dxa" w:w="100"/>
            </w:tcMar>
          </w:tcPr>
          <w:p>
            <w:r>
              <w:rPr>
                <w:sz w:val="20"/>
                <w:szCs w:val="20"/>
              </w:rPr>
              <w:t xml:space="preserve">Pima Indians Diabetes Dataset (UCI / Kaggle)</w:t>
            </w:r>
          </w:p>
        </w:tc>
        <w:tc>
          <w:tcPr>
            <w:tcW w:type="dxa" w:w="2200"/>
            <w:shd w:fill="DDEBF7" w:val="clear"/>
            <w:tcMar>
              <w:top w:type="dxa" w:w="80"/>
              <w:left w:type="dxa" w:w="100"/>
              <w:bottom w:type="dxa" w:w="80"/>
              <w:right w:type="dxa" w:w="100"/>
            </w:tcMar>
          </w:tcPr>
          <w:p>
            <w:r>
              <w:rPr>
                <w:sz w:val="20"/>
                <w:szCs w:val="20"/>
              </w:rPr>
              <w:t xml:space="preserve">768 rows, 8 features</w:t>
            </w:r>
          </w:p>
        </w:tc>
        <w:tc>
          <w:tcPr>
            <w:tcW w:type="dxa" w:w="4400"/>
            <w:shd w:fill="DDEBF7" w:val="clear"/>
            <w:tcMar>
              <w:top w:type="dxa" w:w="80"/>
              <w:left w:type="dxa" w:w="100"/>
              <w:bottom w:type="dxa" w:w="80"/>
              <w:right w:type="dxa" w:w="100"/>
            </w:tcMar>
          </w:tcPr>
          <w:p>
            <w:r>
              <w:rPr>
                <w:sz w:val="20"/>
                <w:szCs w:val="20"/>
              </w:rPr>
              <w:t xml:space="preserve">Widely used for diabetes-risk prediction; realistic missing-value patterns (encoded as zeros) that provide good cleaning practice.</w:t>
            </w:r>
          </w:p>
        </w:tc>
      </w:tr>
      <w:tr>
        <w:tc>
          <w:tcPr>
            <w:tcW w:type="dxa" w:w="3200"/>
            <w:shd w:fill="FFFFFF" w:val="clear"/>
            <w:tcMar>
              <w:top w:type="dxa" w:w="80"/>
              <w:left w:type="dxa" w:w="100"/>
              <w:bottom w:type="dxa" w:w="80"/>
              <w:right w:type="dxa" w:w="100"/>
            </w:tcMar>
          </w:tcPr>
          <w:p>
            <w:r>
              <w:rPr>
                <w:sz w:val="20"/>
                <w:szCs w:val="20"/>
              </w:rPr>
              <w:t xml:space="preserve">Kaggle Disease Symptom Prediction Dataset</w:t>
            </w:r>
          </w:p>
        </w:tc>
        <w:tc>
          <w:tcPr>
            <w:tcW w:type="dxa" w:w="2200"/>
            <w:shd w:fill="FFFFFF" w:val="clear"/>
            <w:tcMar>
              <w:top w:type="dxa" w:w="80"/>
              <w:left w:type="dxa" w:w="100"/>
              <w:bottom w:type="dxa" w:w="80"/>
              <w:right w:type="dxa" w:w="100"/>
            </w:tcMar>
          </w:tcPr>
          <w:p>
            <w:r>
              <w:rPr>
                <w:sz w:val="20"/>
                <w:szCs w:val="20"/>
              </w:rPr>
              <w:t xml:space="preserve">~4,900 rows, multi-class</w:t>
            </w:r>
          </w:p>
        </w:tc>
        <w:tc>
          <w:tcPr>
            <w:tcW w:type="dxa" w:w="4400"/>
            <w:shd w:fill="FFFFFF" w:val="clear"/>
            <w:tcMar>
              <w:top w:type="dxa" w:w="80"/>
              <w:left w:type="dxa" w:w="100"/>
              <w:bottom w:type="dxa" w:w="80"/>
              <w:right w:type="dxa" w:w="100"/>
            </w:tcMar>
          </w:tcPr>
          <w:p>
            <w:r>
              <w:rPr>
                <w:sz w:val="20"/>
                <w:szCs w:val="20"/>
              </w:rPr>
              <w:t xml:space="preserve">Symptom-to-disease mapping across 40+ diseases; useful for multi-class classification experiments.</w:t>
            </w:r>
          </w:p>
        </w:tc>
      </w:tr>
      <w:tr>
        <w:tc>
          <w:tcPr>
            <w:tcW w:type="dxa" w:w="3200"/>
            <w:shd w:fill="DDEBF7" w:val="clear"/>
            <w:tcMar>
              <w:top w:type="dxa" w:w="80"/>
              <w:left w:type="dxa" w:w="100"/>
              <w:bottom w:type="dxa" w:w="80"/>
              <w:right w:type="dxa" w:w="100"/>
            </w:tcMar>
          </w:tcPr>
          <w:p>
            <w:r>
              <w:rPr>
                <w:sz w:val="20"/>
                <w:szCs w:val="20"/>
              </w:rPr>
              <w:t xml:space="preserve">CDC Behavioral Risk Factor Surveillance System (BRFSS)</w:t>
            </w:r>
          </w:p>
        </w:tc>
        <w:tc>
          <w:tcPr>
            <w:tcW w:type="dxa" w:w="2200"/>
            <w:shd w:fill="DDEBF7" w:val="clear"/>
            <w:tcMar>
              <w:top w:type="dxa" w:w="80"/>
              <w:left w:type="dxa" w:w="100"/>
              <w:bottom w:type="dxa" w:w="80"/>
              <w:right w:type="dxa" w:w="100"/>
            </w:tcMar>
          </w:tcPr>
          <w:p>
            <w:r>
              <w:rPr>
                <w:sz w:val="20"/>
                <w:szCs w:val="20"/>
              </w:rPr>
              <w:t xml:space="preserve">400,000+ rows</w:t>
            </w:r>
          </w:p>
        </w:tc>
        <w:tc>
          <w:tcPr>
            <w:tcW w:type="dxa" w:w="4400"/>
            <w:shd w:fill="DDEBF7" w:val="clear"/>
            <w:tcMar>
              <w:top w:type="dxa" w:w="80"/>
              <w:left w:type="dxa" w:w="100"/>
              <w:bottom w:type="dxa" w:w="80"/>
              <w:right w:type="dxa" w:w="100"/>
            </w:tcMar>
          </w:tcPr>
          <w:p>
            <w:r>
              <w:rPr>
                <w:sz w:val="20"/>
                <w:szCs w:val="20"/>
              </w:rPr>
              <w:t xml:space="preserve">Very large, real-world survey data; higher complexity in cleaning but offers strong generalisability.</w:t>
            </w:r>
          </w:p>
        </w:tc>
      </w:tr>
    </w:tbl>
    <w:p>
      <w:pPr>
        <w:spacing w:after="150"/>
      </w:pPr>
      <w:r>
        <w:rPr>
          <w:b/>
          <w:bCs/>
        </w:rPr>
        <w:t xml:space="preserve">Selected Dataset: The Pima Indians Diabetes Dataset has been selected as the primary dataset for this project. It offers a manageable size for a 4-week internship timeline, a well-defined binary target variable (diabetic / non-diabetic), realistic data-quality issues (disguised missing values, mild class imbalance) that provide meaningful practice for the cleaning and EDA stages, and wide community documentation for benchmarking results. The UCI Heart Disease dataset will be used as a secondary/backup dataset if additional validation of the pipeline design is required.</w:t>
      </w:r>
    </w:p>
    <w:p>
      <w:pPr>
        <w:pStyle w:val="Heading1"/>
        <w:spacing w:after="150" w:before="300"/>
      </w:pPr>
      <w:r>
        <w:rPr>
          <w:b/>
          <w:bCs/>
          <w:color w:val="1F4E79"/>
        </w:rPr>
        <w:t xml:space="preserve">6. High-Level Analytical Workflow</w:t>
      </w:r>
    </w:p>
    <w:p>
      <w:pPr>
        <w:spacing w:after="150"/>
      </w:pPr>
      <w:r>
        <w:t xml:space="preserve">The project will follow the standard data science lifecycle, adapted for a disease-prediction use case:</w:t>
      </w:r>
    </w:p>
    <w:p>
      <w:pPr>
        <w:shd w:fill="1F4E79" w:val="clear"/>
        <w:spacing w:after="40"/>
      </w:pPr>
      <w:r>
        <w:rPr>
          <w:b/>
          <w:bCs/>
          <w:color w:val="FFFFFF"/>
        </w:rPr>
        <w:t xml:space="preserve">[ Data Acquisition ]</w:t>
      </w:r>
    </w:p>
    <w:p>
      <w:pPr>
        <w:spacing w:after="40"/>
        <w:jc w:val="center"/>
      </w:pPr>
      <w:r>
        <w:rPr>
          <w:b/>
          <w:bCs/>
          <w:color w:val="1F4E79"/>
          <w:sz w:val="28"/>
          <w:szCs w:val="28"/>
        </w:rPr>
        <w:t xml:space="preserve">↓</w:t>
      </w:r>
    </w:p>
    <w:p>
      <w:pPr>
        <w:shd w:fill="1F4E79" w:val="clear"/>
        <w:spacing w:after="40"/>
      </w:pPr>
      <w:r>
        <w:rPr>
          <w:b/>
          <w:bCs/>
          <w:color w:val="FFFFFF"/>
        </w:rPr>
        <w:t xml:space="preserve">[ Data Cleaning &amp; Preprocessing ]</w:t>
      </w:r>
    </w:p>
    <w:p>
      <w:pPr>
        <w:spacing w:after="40"/>
        <w:jc w:val="center"/>
      </w:pPr>
      <w:r>
        <w:rPr>
          <w:b/>
          <w:bCs/>
          <w:color w:val="1F4E79"/>
          <w:sz w:val="28"/>
          <w:szCs w:val="28"/>
        </w:rPr>
        <w:t xml:space="preserve">↓</w:t>
      </w:r>
    </w:p>
    <w:p>
      <w:pPr>
        <w:shd w:fill="1F4E79" w:val="clear"/>
        <w:spacing w:after="40"/>
      </w:pPr>
      <w:r>
        <w:rPr>
          <w:b/>
          <w:bCs/>
          <w:color w:val="FFFFFF"/>
        </w:rPr>
        <w:t xml:space="preserve">[ Exploratory Data Analysis (EDA) ]</w:t>
      </w:r>
    </w:p>
    <w:p>
      <w:pPr>
        <w:spacing w:after="40"/>
        <w:jc w:val="center"/>
      </w:pPr>
      <w:r>
        <w:rPr>
          <w:b/>
          <w:bCs/>
          <w:color w:val="1F4E79"/>
          <w:sz w:val="28"/>
          <w:szCs w:val="28"/>
        </w:rPr>
        <w:t xml:space="preserve">↓</w:t>
      </w:r>
    </w:p>
    <w:p>
      <w:pPr>
        <w:shd w:fill="1F4E79" w:val="clear"/>
        <w:spacing w:after="40"/>
      </w:pPr>
      <w:r>
        <w:rPr>
          <w:b/>
          <w:bCs/>
          <w:color w:val="FFFFFF"/>
        </w:rPr>
        <w:t xml:space="preserve">[ Feature Engineering ]</w:t>
      </w:r>
    </w:p>
    <w:p>
      <w:pPr>
        <w:spacing w:after="40"/>
        <w:jc w:val="center"/>
      </w:pPr>
      <w:r>
        <w:rPr>
          <w:b/>
          <w:bCs/>
          <w:color w:val="1F4E79"/>
          <w:sz w:val="28"/>
          <w:szCs w:val="28"/>
        </w:rPr>
        <w:t xml:space="preserve">↓</w:t>
      </w:r>
    </w:p>
    <w:p>
      <w:pPr>
        <w:shd w:fill="1F4E79" w:val="clear"/>
        <w:spacing w:after="40"/>
      </w:pPr>
      <w:r>
        <w:rPr>
          <w:b/>
          <w:bCs/>
          <w:color w:val="FFFFFF"/>
        </w:rPr>
        <w:t xml:space="preserve">[ Model Selection &amp; Training ]</w:t>
      </w:r>
    </w:p>
    <w:p>
      <w:pPr>
        <w:spacing w:after="40"/>
        <w:jc w:val="center"/>
      </w:pPr>
      <w:r>
        <w:rPr>
          <w:b/>
          <w:bCs/>
          <w:color w:val="1F4E79"/>
          <w:sz w:val="28"/>
          <w:szCs w:val="28"/>
        </w:rPr>
        <w:t xml:space="preserve">↓</w:t>
      </w:r>
    </w:p>
    <w:p>
      <w:pPr>
        <w:shd w:fill="1F4E79" w:val="clear"/>
        <w:spacing w:after="40"/>
      </w:pPr>
      <w:r>
        <w:rPr>
          <w:b/>
          <w:bCs/>
          <w:color w:val="FFFFFF"/>
        </w:rPr>
        <w:t xml:space="preserve">[ Model Evaluation ]</w:t>
      </w:r>
    </w:p>
    <w:p>
      <w:pPr>
        <w:spacing w:after="40"/>
        <w:jc w:val="center"/>
      </w:pPr>
      <w:r>
        <w:rPr>
          <w:b/>
          <w:bCs/>
          <w:color w:val="1F4E79"/>
          <w:sz w:val="28"/>
          <w:szCs w:val="28"/>
        </w:rPr>
        <w:t xml:space="preserve">↓</w:t>
      </w:r>
    </w:p>
    <w:p>
      <w:pPr>
        <w:shd w:fill="1F4E79" w:val="clear"/>
        <w:spacing w:after="150"/>
      </w:pPr>
      <w:r>
        <w:rPr>
          <w:b/>
          <w:bCs/>
          <w:color w:val="FFFFFF"/>
        </w:rPr>
        <w:t xml:space="preserve">[ Reporting &amp; Documentation ]</w:t>
      </w:r>
    </w:p>
    <w:p>
      <w:pPr>
        <w:pStyle w:val="Heading2"/>
        <w:spacing w:after="100" w:before="200"/>
      </w:pPr>
      <w:r>
        <w:rPr>
          <w:b/>
          <w:bCs/>
          <w:color w:val="2E75B6"/>
        </w:rPr>
        <w:t xml:space="preserve">6.1 Stage Descriptions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1F4E79" w:val="clear"/>
            <w:tcMar>
              <w:top w:type="dxa" w:w="80"/>
              <w:left w:type="dxa" w:w="100"/>
              <w:bottom w:type="dxa" w:w="80"/>
              <w:right w:type="dxa" w:w="100"/>
            </w:tcMar>
          </w:tcPr>
          <w:p>
            <w:r>
              <w:rPr>
                <w:b/>
                <w:bCs/>
                <w:color w:val="FFFFFF"/>
                <w:sz w:val="20"/>
                <w:szCs w:val="20"/>
              </w:rPr>
              <w:t xml:space="preserve">Stage</w:t>
            </w:r>
          </w:p>
        </w:tc>
        <w:tc>
          <w:tcPr>
            <w:tcW w:type="dxa" w:w="7200"/>
            <w:shd w:fill="1F4E79" w:val="clear"/>
            <w:tcMar>
              <w:top w:type="dxa" w:w="80"/>
              <w:left w:type="dxa" w:w="100"/>
              <w:bottom w:type="dxa" w:w="80"/>
              <w:right w:type="dxa" w:w="100"/>
            </w:tcMar>
          </w:tcPr>
          <w:p>
            <w:r>
              <w:rPr>
                <w:b/>
                <w:bCs/>
                <w:color w:val="FFFFFF"/>
                <w:sz w:val="20"/>
                <w:szCs w:val="20"/>
              </w:rPr>
              <w:t xml:space="preserve">Description</w:t>
            </w:r>
          </w:p>
        </w:tc>
      </w:tr>
      <w:tr>
        <w:tc>
          <w:tcPr>
            <w:tcW w:type="dxa" w:w="2600"/>
            <w:shd w:fill="FFFFFF" w:val="clear"/>
            <w:tcMar>
              <w:top w:type="dxa" w:w="80"/>
              <w:left w:type="dxa" w:w="100"/>
              <w:bottom w:type="dxa" w:w="80"/>
              <w:right w:type="dxa" w:w="100"/>
            </w:tcMar>
          </w:tcPr>
          <w:p>
            <w:r>
              <w:rPr>
                <w:sz w:val="20"/>
                <w:szCs w:val="20"/>
              </w:rPr>
              <w:t xml:space="preserve">Data Acquisition</w:t>
            </w:r>
          </w:p>
        </w:tc>
        <w:tc>
          <w:tcPr>
            <w:tcW w:type="dxa" w:w="7200"/>
            <w:shd w:fill="FFFFFF" w:val="clear"/>
            <w:tcMar>
              <w:top w:type="dxa" w:w="80"/>
              <w:left w:type="dxa" w:w="100"/>
              <w:bottom w:type="dxa" w:w="80"/>
              <w:right w:type="dxa" w:w="100"/>
            </w:tcMar>
          </w:tcPr>
          <w:p>
            <w:r>
              <w:rPr>
                <w:sz w:val="20"/>
                <w:szCs w:val="20"/>
              </w:rPr>
              <w:t xml:space="preserve">Download the dataset from the UCI Machine Learning Repository / Kaggle; verify integrity and licensing.</w:t>
            </w:r>
          </w:p>
        </w:tc>
      </w:tr>
      <w:tr>
        <w:tc>
          <w:tcPr>
            <w:tcW w:type="dxa" w:w="2600"/>
            <w:shd w:fill="DDEBF7" w:val="clear"/>
            <w:tcMar>
              <w:top w:type="dxa" w:w="80"/>
              <w:left w:type="dxa" w:w="100"/>
              <w:bottom w:type="dxa" w:w="80"/>
              <w:right w:type="dxa" w:w="100"/>
            </w:tcMar>
          </w:tcPr>
          <w:p>
            <w:r>
              <w:rPr>
                <w:sz w:val="20"/>
                <w:szCs w:val="20"/>
              </w:rPr>
              <w:t xml:space="preserve">Data Cleaning</w:t>
            </w:r>
          </w:p>
        </w:tc>
        <w:tc>
          <w:tcPr>
            <w:tcW w:type="dxa" w:w="7200"/>
            <w:shd w:fill="DDEBF7" w:val="clear"/>
            <w:tcMar>
              <w:top w:type="dxa" w:w="80"/>
              <w:left w:type="dxa" w:w="100"/>
              <w:bottom w:type="dxa" w:w="80"/>
              <w:right w:type="dxa" w:w="100"/>
            </w:tcMar>
          </w:tcPr>
          <w:p>
            <w:r>
              <w:rPr>
                <w:sz w:val="20"/>
                <w:szCs w:val="20"/>
              </w:rPr>
              <w:t xml:space="preserve">Handle missing values, duplicate records, and implausible values (e.g., zero blood pressure); detailed in the Week 2 deliverable.</w:t>
            </w:r>
          </w:p>
        </w:tc>
      </w:tr>
      <w:tr>
        <w:tc>
          <w:tcPr>
            <w:tcW w:type="dxa" w:w="2600"/>
            <w:shd w:fill="FFFFFF" w:val="clear"/>
            <w:tcMar>
              <w:top w:type="dxa" w:w="80"/>
              <w:left w:type="dxa" w:w="100"/>
              <w:bottom w:type="dxa" w:w="80"/>
              <w:right w:type="dxa" w:w="100"/>
            </w:tcMar>
          </w:tcPr>
          <w:p>
            <w:r>
              <w:rPr>
                <w:sz w:val="20"/>
                <w:szCs w:val="20"/>
              </w:rPr>
              <w:t xml:space="preserve">EDA</w:t>
            </w:r>
          </w:p>
        </w:tc>
        <w:tc>
          <w:tcPr>
            <w:tcW w:type="dxa" w:w="7200"/>
            <w:shd w:fill="FFFFFF" w:val="clear"/>
            <w:tcMar>
              <w:top w:type="dxa" w:w="80"/>
              <w:left w:type="dxa" w:w="100"/>
              <w:bottom w:type="dxa" w:w="80"/>
              <w:right w:type="dxa" w:w="100"/>
            </w:tcMar>
          </w:tcPr>
          <w:p>
            <w:r>
              <w:rPr>
                <w:sz w:val="20"/>
                <w:szCs w:val="20"/>
              </w:rPr>
              <w:t xml:space="preserve">Visualise distributions, correlations, and class balance to surface patterns; detailed in the Week 3 deliverable.</w:t>
            </w:r>
          </w:p>
        </w:tc>
      </w:tr>
      <w:tr>
        <w:tc>
          <w:tcPr>
            <w:tcW w:type="dxa" w:w="2600"/>
            <w:shd w:fill="DDEBF7" w:val="clear"/>
            <w:tcMar>
              <w:top w:type="dxa" w:w="80"/>
              <w:left w:type="dxa" w:w="100"/>
              <w:bottom w:type="dxa" w:w="80"/>
              <w:right w:type="dxa" w:w="100"/>
            </w:tcMar>
          </w:tcPr>
          <w:p>
            <w:r>
              <w:rPr>
                <w:sz w:val="20"/>
                <w:szCs w:val="20"/>
              </w:rPr>
              <w:t xml:space="preserve">Feature Engineering</w:t>
            </w:r>
          </w:p>
        </w:tc>
        <w:tc>
          <w:tcPr>
            <w:tcW w:type="dxa" w:w="7200"/>
            <w:shd w:fill="DDEBF7" w:val="clear"/>
            <w:tcMar>
              <w:top w:type="dxa" w:w="80"/>
              <w:left w:type="dxa" w:w="100"/>
              <w:bottom w:type="dxa" w:w="80"/>
              <w:right w:type="dxa" w:w="100"/>
            </w:tcMar>
          </w:tcPr>
          <w:p>
            <w:r>
              <w:rPr>
                <w:sz w:val="20"/>
                <w:szCs w:val="20"/>
              </w:rPr>
              <w:t xml:space="preserve">Create derived features (e.g., BMI categories, age bins) and scale/normalise numeric fields.</w:t>
            </w:r>
          </w:p>
        </w:tc>
      </w:tr>
      <w:tr>
        <w:tc>
          <w:tcPr>
            <w:tcW w:type="dxa" w:w="2600"/>
            <w:shd w:fill="FFFFFF" w:val="clear"/>
            <w:tcMar>
              <w:top w:type="dxa" w:w="80"/>
              <w:left w:type="dxa" w:w="100"/>
              <w:bottom w:type="dxa" w:w="80"/>
              <w:right w:type="dxa" w:w="100"/>
            </w:tcMar>
          </w:tcPr>
          <w:p>
            <w:r>
              <w:rPr>
                <w:sz w:val="20"/>
                <w:szCs w:val="20"/>
              </w:rPr>
              <w:t xml:space="preserve">Modelling</w:t>
            </w:r>
          </w:p>
        </w:tc>
        <w:tc>
          <w:tcPr>
            <w:tcW w:type="dxa" w:w="7200"/>
            <w:shd w:fill="FFFFFF" w:val="clear"/>
            <w:tcMar>
              <w:top w:type="dxa" w:w="80"/>
              <w:left w:type="dxa" w:w="100"/>
              <w:bottom w:type="dxa" w:w="80"/>
              <w:right w:type="dxa" w:w="100"/>
            </w:tcMar>
          </w:tcPr>
          <w:p>
            <w:r>
              <w:rPr>
                <w:sz w:val="20"/>
                <w:szCs w:val="20"/>
              </w:rPr>
              <w:t xml:space="preserve">Train and compare candidate algorithms such as Logistic Regression, Decision Trees, Random Forest, and SVM; detailed in the Week 4 deliverable.</w:t>
            </w:r>
          </w:p>
        </w:tc>
      </w:tr>
      <w:tr>
        <w:tc>
          <w:tcPr>
            <w:tcW w:type="dxa" w:w="2600"/>
            <w:shd w:fill="DDEBF7" w:val="clear"/>
            <w:tcMar>
              <w:top w:type="dxa" w:w="80"/>
              <w:left w:type="dxa" w:w="100"/>
              <w:bottom w:type="dxa" w:w="80"/>
              <w:right w:type="dxa" w:w="100"/>
            </w:tcMar>
          </w:tcPr>
          <w:p>
            <w:r>
              <w:rPr>
                <w:sz w:val="20"/>
                <w:szCs w:val="20"/>
              </w:rPr>
              <w:t xml:space="preserve">Evaluation</w:t>
            </w:r>
          </w:p>
        </w:tc>
        <w:tc>
          <w:tcPr>
            <w:tcW w:type="dxa" w:w="7200"/>
            <w:shd w:fill="DDEBF7" w:val="clear"/>
            <w:tcMar>
              <w:top w:type="dxa" w:w="80"/>
              <w:left w:type="dxa" w:w="100"/>
              <w:bottom w:type="dxa" w:w="80"/>
              <w:right w:type="dxa" w:w="100"/>
            </w:tcMar>
          </w:tcPr>
          <w:p>
            <w:r>
              <w:rPr>
                <w:sz w:val="20"/>
                <w:szCs w:val="20"/>
              </w:rPr>
              <w:t xml:space="preserve">Assess models using accuracy, precision, recall, F1-score, and ROC-AUC on a held-out test set.</w:t>
            </w:r>
          </w:p>
        </w:tc>
      </w:tr>
      <w:tr>
        <w:tc>
          <w:tcPr>
            <w:tcW w:type="dxa" w:w="2600"/>
            <w:shd w:fill="FFFFFF" w:val="clear"/>
            <w:tcMar>
              <w:top w:type="dxa" w:w="80"/>
              <w:left w:type="dxa" w:w="100"/>
              <w:bottom w:type="dxa" w:w="80"/>
              <w:right w:type="dxa" w:w="100"/>
            </w:tcMar>
          </w:tcPr>
          <w:p>
            <w:r>
              <w:rPr>
                <w:sz w:val="20"/>
                <w:szCs w:val="20"/>
              </w:rPr>
              <w:t xml:space="preserve">Reporting</w:t>
            </w:r>
          </w:p>
        </w:tc>
        <w:tc>
          <w:tcPr>
            <w:tcW w:type="dxa" w:w="7200"/>
            <w:shd w:fill="FFFFFF" w:val="clear"/>
            <w:tcMar>
              <w:top w:type="dxa" w:w="80"/>
              <w:left w:type="dxa" w:w="100"/>
              <w:bottom w:type="dxa" w:w="80"/>
              <w:right w:type="dxa" w:w="100"/>
            </w:tcMar>
          </w:tcPr>
          <w:p>
            <w:r>
              <w:rPr>
                <w:sz w:val="20"/>
                <w:szCs w:val="20"/>
              </w:rPr>
              <w:t xml:space="preserve">Summarise findings, visualisations, and model performance in a final report / notebook.</w:t>
            </w:r>
          </w:p>
        </w:tc>
      </w:tr>
    </w:tbl>
    <w:p>
      <w:pPr>
        <w:pStyle w:val="Heading1"/>
        <w:spacing w:after="150" w:before="300"/>
      </w:pPr>
      <w:r>
        <w:rPr>
          <w:b/>
          <w:bCs/>
          <w:color w:val="1F4E79"/>
        </w:rPr>
        <w:t xml:space="preserve">7. Methodology and Tools</w:t>
      </w:r>
    </w:p>
    <w:p>
      <w:pPr>
        <w:pStyle w:val="Heading2"/>
        <w:spacing w:after="100" w:before="200"/>
      </w:pPr>
      <w:r>
        <w:rPr>
          <w:b/>
          <w:bCs/>
          <w:color w:val="2E75B6"/>
        </w:rPr>
        <w:t xml:space="preserve">7.1 Python Libraries</w:t>
      </w:r>
    </w:p>
    <w:p>
      <w:pPr>
        <w:pStyle w:val="ListParagraph"/>
        <w:numPr>
          <w:ilvl w:val="0"/>
          <w:numId w:val="2"/>
        </w:numPr>
        <w:spacing w:after="80"/>
      </w:pPr>
      <w:r>
        <w:t xml:space="preserve">pandas &amp; numpy – data loading, manipulation, and numerical computation</w:t>
      </w:r>
    </w:p>
    <w:p>
      <w:pPr>
        <w:pStyle w:val="ListParagraph"/>
        <w:numPr>
          <w:ilvl w:val="0"/>
          <w:numId w:val="2"/>
        </w:numPr>
        <w:spacing w:after="80"/>
      </w:pPr>
      <w:r>
        <w:t xml:space="preserve">matplotlib &amp; seaborn – static data visualisation</w:t>
      </w:r>
    </w:p>
    <w:p>
      <w:pPr>
        <w:pStyle w:val="ListParagraph"/>
        <w:numPr>
          <w:ilvl w:val="0"/>
          <w:numId w:val="2"/>
        </w:numPr>
        <w:spacing w:after="80"/>
      </w:pPr>
      <w:r>
        <w:t xml:space="preserve">scikit-learn – preprocessing, model training, and evaluation metrics</w:t>
      </w:r>
    </w:p>
    <w:p>
      <w:pPr>
        <w:pStyle w:val="ListParagraph"/>
        <w:numPr>
          <w:ilvl w:val="0"/>
          <w:numId w:val="2"/>
        </w:numPr>
        <w:spacing w:after="80"/>
      </w:pPr>
      <w:r>
        <w:t xml:space="preserve">imbalanced-learn – handling class imbalance (e.g., SMOTE)</w:t>
      </w:r>
    </w:p>
    <w:p>
      <w:pPr>
        <w:pStyle w:val="ListParagraph"/>
        <w:numPr>
          <w:ilvl w:val="0"/>
          <w:numId w:val="2"/>
        </w:numPr>
        <w:spacing w:after="80"/>
      </w:pPr>
      <w:r>
        <w:t xml:space="preserve">Jupyter Notebook – interactive development and documentation</w:t>
      </w:r>
    </w:p>
    <w:p>
      <w:pPr>
        <w:pStyle w:val="ListParagraph"/>
        <w:numPr>
          <w:ilvl w:val="0"/>
          <w:numId w:val="2"/>
        </w:numPr>
        <w:spacing w:after="80"/>
      </w:pPr>
      <w:r>
        <w:t xml:space="preserve">joblib – model persistence</w:t>
      </w:r>
    </w:p>
    <w:p>
      <w:pPr>
        <w:pStyle w:val="Heading2"/>
        <w:spacing w:after="100" w:before="200"/>
      </w:pPr>
      <w:r>
        <w:rPr>
          <w:b/>
          <w:bCs/>
          <w:color w:val="2E75B6"/>
        </w:rPr>
        <w:t xml:space="preserve">7.2 Methodological Approach</w:t>
      </w:r>
    </w:p>
    <w:p>
      <w:pPr>
        <w:spacing w:after="150"/>
      </w:pPr>
      <w:r>
        <w:t xml:space="preserve">A CRISP-DM inspired (Cross-Industry Standard Process for Data Mining) approach will be used, ensuring that each stage — from business/problem understanding through to deployment-readiness — is documented and validated before proceeding to the next. Model development will follow an iterative approach: begin with a simple, interpretable baseline model, then progressively evaluate more complex algorithms while tracking performance improvements against the baseline.</w:t>
      </w:r>
    </w:p>
    <w:p>
      <w:pPr>
        <w:pStyle w:val="Heading1"/>
        <w:spacing w:after="150" w:before="300"/>
      </w:pPr>
      <w:r>
        <w:rPr>
          <w:b/>
          <w:bCs/>
          <w:color w:val="1F4E79"/>
        </w:rPr>
        <w:t xml:space="preserve">8. Validation Checkpoints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400"/>
      </w:tblGrid>
      <w:tr>
        <w:trPr>
          <w:tblHeader/>
        </w:trPr>
        <w:tc>
          <w:tcPr>
            <w:tcW w:type="dxa" w:w="2200"/>
            <w:shd w:fill="1F4E79" w:val="clear"/>
            <w:tcMar>
              <w:top w:type="dxa" w:w="80"/>
              <w:left w:type="dxa" w:w="100"/>
              <w:bottom w:type="dxa" w:w="80"/>
              <w:right w:type="dxa" w:w="100"/>
            </w:tcMar>
          </w:tcPr>
          <w:p>
            <w:r>
              <w:rPr>
                <w:b/>
                <w:bCs/>
                <w:color w:val="FFFFFF"/>
                <w:sz w:val="20"/>
                <w:szCs w:val="20"/>
              </w:rPr>
              <w:t xml:space="preserve">Checkpoint</w:t>
            </w:r>
          </w:p>
        </w:tc>
        <w:tc>
          <w:tcPr>
            <w:tcW w:type="dxa" w:w="2200"/>
            <w:shd w:fill="1F4E79" w:val="clear"/>
            <w:tcMar>
              <w:top w:type="dxa" w:w="80"/>
              <w:left w:type="dxa" w:w="100"/>
              <w:bottom w:type="dxa" w:w="80"/>
              <w:right w:type="dxa" w:w="100"/>
            </w:tcMar>
          </w:tcPr>
          <w:p>
            <w:r>
              <w:rPr>
                <w:b/>
                <w:bCs/>
                <w:color w:val="FFFFFF"/>
                <w:sz w:val="20"/>
                <w:szCs w:val="20"/>
              </w:rPr>
              <w:t xml:space="preserve">Timing</w:t>
            </w:r>
          </w:p>
        </w:tc>
        <w:tc>
          <w:tcPr>
            <w:tcW w:type="dxa" w:w="5400"/>
            <w:shd w:fill="1F4E79" w:val="clear"/>
            <w:tcMar>
              <w:top w:type="dxa" w:w="80"/>
              <w:left w:type="dxa" w:w="100"/>
              <w:bottom w:type="dxa" w:w="80"/>
              <w:right w:type="dxa" w:w="100"/>
            </w:tcMar>
          </w:tcPr>
          <w:p>
            <w:r>
              <w:rPr>
                <w:b/>
                <w:bCs/>
                <w:color w:val="FFFFFF"/>
                <w:sz w:val="20"/>
                <w:szCs w:val="20"/>
              </w:rPr>
              <w:t xml:space="preserve">Success Criteria</w:t>
            </w:r>
          </w:p>
        </w:tc>
      </w:tr>
      <w:tr>
        <w:tc>
          <w:tcPr>
            <w:tcW w:type="dxa" w:w="2200"/>
            <w:shd w:fill="FFFFFF" w:val="clear"/>
            <w:tcMar>
              <w:top w:type="dxa" w:w="80"/>
              <w:left w:type="dxa" w:w="100"/>
              <w:bottom w:type="dxa" w:w="80"/>
              <w:right w:type="dxa" w:w="100"/>
            </w:tcMar>
          </w:tcPr>
          <w:p>
            <w:r>
              <w:rPr>
                <w:sz w:val="20"/>
                <w:szCs w:val="20"/>
              </w:rPr>
              <w:t xml:space="preserve">Checkpoint 1</w:t>
            </w:r>
          </w:p>
        </w:tc>
        <w:tc>
          <w:tcPr>
            <w:tcW w:type="dxa" w:w="2200"/>
            <w:shd w:fill="FFFFFF" w:val="clear"/>
            <w:tcMar>
              <w:top w:type="dxa" w:w="80"/>
              <w:left w:type="dxa" w:w="100"/>
              <w:bottom w:type="dxa" w:w="80"/>
              <w:right w:type="dxa" w:w="100"/>
            </w:tcMar>
          </w:tcPr>
          <w:p>
            <w:r>
              <w:rPr>
                <w:sz w:val="20"/>
                <w:szCs w:val="20"/>
              </w:rPr>
              <w:t xml:space="preserve">End of Week 1</w:t>
            </w:r>
          </w:p>
        </w:tc>
        <w:tc>
          <w:tcPr>
            <w:tcW w:type="dxa" w:w="5400"/>
            <w:shd w:fill="FFFFFF" w:val="clear"/>
            <w:tcMar>
              <w:top w:type="dxa" w:w="80"/>
              <w:left w:type="dxa" w:w="100"/>
              <w:bottom w:type="dxa" w:w="80"/>
              <w:right w:type="dxa" w:w="100"/>
            </w:tcMar>
          </w:tcPr>
          <w:p>
            <w:r>
              <w:rPr>
                <w:sz w:val="20"/>
                <w:szCs w:val="20"/>
              </w:rPr>
              <w:t xml:space="preserve">Finalised proposal, dataset selected and downloaded.</w:t>
            </w:r>
          </w:p>
        </w:tc>
      </w:tr>
      <w:tr>
        <w:tc>
          <w:tcPr>
            <w:tcW w:type="dxa" w:w="2200"/>
            <w:shd w:fill="DDEBF7" w:val="clear"/>
            <w:tcMar>
              <w:top w:type="dxa" w:w="80"/>
              <w:left w:type="dxa" w:w="100"/>
              <w:bottom w:type="dxa" w:w="80"/>
              <w:right w:type="dxa" w:w="100"/>
            </w:tcMar>
          </w:tcPr>
          <w:p>
            <w:r>
              <w:rPr>
                <w:sz w:val="20"/>
                <w:szCs w:val="20"/>
              </w:rPr>
              <w:t xml:space="preserve">Checkpoint 2</w:t>
            </w:r>
          </w:p>
        </w:tc>
        <w:tc>
          <w:tcPr>
            <w:tcW w:type="dxa" w:w="2200"/>
            <w:shd w:fill="DDEBF7" w:val="clear"/>
            <w:tcMar>
              <w:top w:type="dxa" w:w="80"/>
              <w:left w:type="dxa" w:w="100"/>
              <w:bottom w:type="dxa" w:w="80"/>
              <w:right w:type="dxa" w:w="100"/>
            </w:tcMar>
          </w:tcPr>
          <w:p>
            <w:r>
              <w:rPr>
                <w:sz w:val="20"/>
                <w:szCs w:val="20"/>
              </w:rPr>
              <w:t xml:space="preserve">End of Week 2</w:t>
            </w:r>
          </w:p>
        </w:tc>
        <w:tc>
          <w:tcPr>
            <w:tcW w:type="dxa" w:w="5400"/>
            <w:shd w:fill="DDEBF7" w:val="clear"/>
            <w:tcMar>
              <w:top w:type="dxa" w:w="80"/>
              <w:left w:type="dxa" w:w="100"/>
              <w:bottom w:type="dxa" w:w="80"/>
              <w:right w:type="dxa" w:w="100"/>
            </w:tcMar>
          </w:tcPr>
          <w:p>
            <w:r>
              <w:rPr>
                <w:sz w:val="20"/>
                <w:szCs w:val="20"/>
              </w:rPr>
              <w:t xml:space="preserve">Cleaned dataset with documented transformation log; no missing/invalid values remain.</w:t>
            </w:r>
          </w:p>
        </w:tc>
      </w:tr>
      <w:tr>
        <w:tc>
          <w:tcPr>
            <w:tcW w:type="dxa" w:w="2200"/>
            <w:shd w:fill="FFFFFF" w:val="clear"/>
            <w:tcMar>
              <w:top w:type="dxa" w:w="80"/>
              <w:left w:type="dxa" w:w="100"/>
              <w:bottom w:type="dxa" w:w="80"/>
              <w:right w:type="dxa" w:w="100"/>
            </w:tcMar>
          </w:tcPr>
          <w:p>
            <w:r>
              <w:rPr>
                <w:sz w:val="20"/>
                <w:szCs w:val="20"/>
              </w:rPr>
              <w:t xml:space="preserve">Checkpoint 3</w:t>
            </w:r>
          </w:p>
        </w:tc>
        <w:tc>
          <w:tcPr>
            <w:tcW w:type="dxa" w:w="2200"/>
            <w:shd w:fill="FFFFFF" w:val="clear"/>
            <w:tcMar>
              <w:top w:type="dxa" w:w="80"/>
              <w:left w:type="dxa" w:w="100"/>
              <w:bottom w:type="dxa" w:w="80"/>
              <w:right w:type="dxa" w:w="100"/>
            </w:tcMar>
          </w:tcPr>
          <w:p>
            <w:r>
              <w:rPr>
                <w:sz w:val="20"/>
                <w:szCs w:val="20"/>
              </w:rPr>
              <w:t xml:space="preserve">End of Week 3</w:t>
            </w:r>
          </w:p>
        </w:tc>
        <w:tc>
          <w:tcPr>
            <w:tcW w:type="dxa" w:w="5400"/>
            <w:shd w:fill="FFFFFF" w:val="clear"/>
            <w:tcMar>
              <w:top w:type="dxa" w:w="80"/>
              <w:left w:type="dxa" w:w="100"/>
              <w:bottom w:type="dxa" w:w="80"/>
              <w:right w:type="dxa" w:w="100"/>
            </w:tcMar>
          </w:tcPr>
          <w:p>
            <w:r>
              <w:rPr>
                <w:sz w:val="20"/>
                <w:szCs w:val="20"/>
              </w:rPr>
              <w:t xml:space="preserve">Completed EDA report with visualisations and key insights documented.</w:t>
            </w:r>
          </w:p>
        </w:tc>
      </w:tr>
      <w:tr>
        <w:tc>
          <w:tcPr>
            <w:tcW w:type="dxa" w:w="2200"/>
            <w:shd w:fill="DDEBF7" w:val="clear"/>
            <w:tcMar>
              <w:top w:type="dxa" w:w="80"/>
              <w:left w:type="dxa" w:w="100"/>
              <w:bottom w:type="dxa" w:w="80"/>
              <w:right w:type="dxa" w:w="100"/>
            </w:tcMar>
          </w:tcPr>
          <w:p>
            <w:r>
              <w:rPr>
                <w:sz w:val="20"/>
                <w:szCs w:val="20"/>
              </w:rPr>
              <w:t xml:space="preserve">Checkpoint 4</w:t>
            </w:r>
          </w:p>
        </w:tc>
        <w:tc>
          <w:tcPr>
            <w:tcW w:type="dxa" w:w="2200"/>
            <w:shd w:fill="DDEBF7" w:val="clear"/>
            <w:tcMar>
              <w:top w:type="dxa" w:w="80"/>
              <w:left w:type="dxa" w:w="100"/>
              <w:bottom w:type="dxa" w:w="80"/>
              <w:right w:type="dxa" w:w="100"/>
            </w:tcMar>
          </w:tcPr>
          <w:p>
            <w:r>
              <w:rPr>
                <w:sz w:val="20"/>
                <w:szCs w:val="20"/>
              </w:rPr>
              <w:t xml:space="preserve">End of Week 4</w:t>
            </w:r>
          </w:p>
        </w:tc>
        <w:tc>
          <w:tcPr>
            <w:tcW w:type="dxa" w:w="5400"/>
            <w:shd w:fill="DDEBF7" w:val="clear"/>
            <w:tcMar>
              <w:top w:type="dxa" w:w="80"/>
              <w:left w:type="dxa" w:w="100"/>
              <w:bottom w:type="dxa" w:w="80"/>
              <w:right w:type="dxa" w:w="100"/>
            </w:tcMar>
          </w:tcPr>
          <w:p>
            <w:r>
              <w:rPr>
                <w:sz w:val="20"/>
                <w:szCs w:val="20"/>
              </w:rPr>
              <w:t xml:space="preserve">Trained and evaluated models with a final comparison table and recommendation.</w:t>
            </w:r>
          </w:p>
        </w:tc>
      </w:tr>
    </w:tbl>
    <w:p>
      <w:pPr>
        <w:pStyle w:val="Heading1"/>
        <w:spacing w:after="150" w:before="300"/>
      </w:pPr>
      <w:r>
        <w:rPr>
          <w:b/>
          <w:bCs/>
          <w:color w:val="1F4E79"/>
        </w:rPr>
        <w:t xml:space="preserve">9. Conclusion</w:t>
      </w:r>
    </w:p>
    <w:p>
      <w:pPr>
        <w:spacing w:after="150"/>
      </w:pPr>
      <w:r>
        <w:t xml:space="preserve">This proposal establishes a clear, structured foundation for the Disease Prediction System project. By selecting a well-understood public dataset, defining measurable objectives, and laying out a stage-by-stage workflow with appropriate tools and checkpoints, the project is positioned to progress smoothly through data cleaning, exploratory analysis, and model development in the subsequent weeks of the internship.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2026-09-02T06:11:34.732Z</dcterms:created>
  <dcterms:modified xsi:type="dcterms:W3CDTF">2026-09-02T06:11:34.734Z</dcterms:modified>
</cp:coreProperties>
</file>

<file path=docProps/custom.xml><?xml version="1.0" encoding="utf-8"?>
<Properties xmlns="http://schemas.openxmlformats.org/officeDocument/2006/custom-properties" xmlns:vt="http://schemas.openxmlformats.org/officeDocument/2006/docPropsVTypes"/>
</file>