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BMW Global Sales Quieries 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KPI’S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Revenue: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276225</wp:posOffset>
            </wp:positionV>
            <wp:extent cx="15987557" cy="589285"/>
            <wp:effectExtent b="0" l="0" r="0" t="0"/>
            <wp:wrapNone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7557" cy="589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257924</wp:posOffset>
            </wp:positionV>
            <wp:extent cx="13591496" cy="54366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1496" cy="543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Average BMW Value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256426</wp:posOffset>
            </wp:positionV>
            <wp:extent cx="15582900" cy="628650"/>
            <wp:effectExtent b="0" l="0" r="0" t="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261938</wp:posOffset>
            </wp:positionV>
            <wp:extent cx="12583378" cy="64430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3378" cy="64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BMW’s sold?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207304</wp:posOffset>
            </wp:positionV>
            <wp:extent cx="12654116" cy="62865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4116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135596</wp:posOffset>
            </wp:positionV>
            <wp:extent cx="14182716" cy="884513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82716" cy="884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BMW’s sold per region?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180226</wp:posOffset>
            </wp:positionV>
            <wp:extent cx="10768013" cy="2965721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8013" cy="2965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Best selling model per region?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219075</wp:posOffset>
            </wp:positionV>
            <wp:extent cx="11644313" cy="5003657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44313" cy="5003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Trend: Bar Chart displaying Annual Sales from 2010 - 2024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190500</wp:posOffset>
            </wp:positionV>
            <wp:extent cx="9920070" cy="4500376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0070" cy="4500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Trend: Chart displaying Total Sales based on Color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258682</wp:posOffset>
            </wp:positionV>
            <wp:extent cx="11116353" cy="4140547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16353" cy="41405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8.Percentage of Sales by car color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236134</wp:posOffset>
            </wp:positionV>
            <wp:extent cx="11405198" cy="4752166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198" cy="4752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10.Percentage of Sales by Region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200025</wp:posOffset>
            </wp:positionV>
            <wp:extent cx="13177838" cy="5924839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77838" cy="59248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Total Cars sold by Transmission type</w:t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246143</wp:posOffset>
            </wp:positionV>
            <wp:extent cx="12206288" cy="5527978"/>
            <wp:effectExtent b="0" l="0" r="0" t="0"/>
            <wp:wrapNone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06288" cy="5527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Top 5 best sellers by Revenue.</w:t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-533399</wp:posOffset>
            </wp:positionH>
            <wp:positionV relativeFrom="paragraph">
              <wp:posOffset>307077</wp:posOffset>
            </wp:positionV>
            <wp:extent cx="12853988" cy="5007934"/>
            <wp:effectExtent b="0" l="0" r="0" t="0"/>
            <wp:wrapNone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3988" cy="5007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Bottom 5 sellers by revenue</w:t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152400</wp:posOffset>
            </wp:positionV>
            <wp:extent cx="11977688" cy="4825699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7688" cy="4825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5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