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4"/>
          <w:szCs w:val="34"/>
        </w:rPr>
        <w:t xml:space="preserve">PII Benchmark — Manual Validation Instructions</w:t>
      </w:r>
    </w:p>
    <w:p>
      <w:pPr>
        <w:spacing w:after="200"/>
      </w:pPr>
      <w:r>
        <w:rPr>
          <w:i/>
          <w:iCs/>
          <w:color w:val="666666"/>
        </w:rPr>
        <w:t xml:space="preserve">Two-annotator validation pass · v1</w:t>
      </w:r>
    </w:p>
    <w:p>
      <w:pPr>
        <w:pStyle w:val="Heading1"/>
      </w:pPr>
      <w:r>
        <w:t xml:space="preserve">Purpose</w:t>
      </w:r>
    </w:p>
    <w:p>
      <w:pPr>
        <w:spacing w:after="120"/>
      </w:pPr>
      <w:r>
        <w:t xml:space="preserve">You are validating that the benchmark's automatically generated gold annotations are correct. You are </w:t>
      </w:r>
      <w:r>
        <w:rPr>
          <w:b/>
          <w:bCs/>
        </w:rPr>
        <w:t xml:space="preserve">not</w:t>
      </w:r>
      <w:r>
        <w:t xml:space="preserve"> annotating from scratch. In </w:t>
      </w:r>
      <w:r>
        <w:rPr>
          <w:b/>
          <w:bCs/>
        </w:rPr>
        <w:t xml:space="preserve">Task 1</w:t>
      </w:r>
      <w:r>
        <w:t xml:space="preserve"> you judge whether each existing annotation is right; in </w:t>
      </w:r>
      <w:r>
        <w:rPr>
          <w:b/>
          <w:bCs/>
        </w:rPr>
        <w:t xml:space="preserve">Task 2</w:t>
      </w:r>
      <w:r>
        <w:t xml:space="preserve"> you check whether any real entities were missed. Both annotators work the </w:t>
      </w:r>
      <w:r>
        <w:rPr>
          <w:b/>
          <w:bCs/>
        </w:rPr>
        <w:t xml:space="preserve">same items independently</w:t>
      </w:r>
      <w:r>
        <w:t xml:space="preserve">; we then measure inter-annotator agreement and resolve disagreements.</w:t>
      </w:r>
    </w:p>
    <w:p>
      <w:pPr>
        <w:pStyle w:val="Heading1"/>
      </w:pPr>
      <w:r>
        <w:t xml:space="preserve">What you judge — five dimensions per entity</w:t>
      </w:r>
    </w:p>
    <w:p>
      <w:pPr>
        <w:spacing w:after="120"/>
      </w:pPr>
      <w:r>
        <w:t xml:space="preserve">For every entity in Task 1, give a judgment on each of these five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What you are checking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CSV column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 the entity type label correct?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Are the character boundaries (start/end) correct?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Disclosed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 the disclosed flag (true / false) correct?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disclosed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Disclosure 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 disclosure_form (complete / partial / obfuscated) correct?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Sensitivity tier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 sensitivity_tier (HIGH / MEDIUM / LOW) correct?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tier</w:t>
            </w:r>
          </w:p>
        </w:tc>
      </w:tr>
    </w:tbl>
    <w:p>
      <w:pPr>
        <w:pStyle w:val="Heading1"/>
      </w:pPr>
      <w:r>
        <w:t xml:space="preserve">How to label each dimension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Use when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AGREE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gold value is correct.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DISAGREE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gold value is wrong. State the correct value in the comment.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BORDERLINE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Defensible either way / a genuine edge case. Explain briefly in the comment.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Rule: </w:t>
      </w:r>
      <w:r>
        <w:t xml:space="preserve">leave a comment for every DISAGREE and every BORDERLINE. AGREE needs no comment.</w:t>
      </w:r>
    </w:p>
    <w:p>
      <w:pPr>
        <w:pStyle w:val="Heading1"/>
      </w:pPr>
      <w:r>
        <w:t xml:space="preserve">Policy rules — apply these exactly</w:t>
      </w:r>
    </w:p>
    <w:p>
      <w:pPr>
        <w:spacing w:after="120"/>
      </w:pPr>
      <w:r>
        <w:t xml:space="preserve">These four decisions are locked for this pass. When a case is ambiguous, these rules are the tie-breaker.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Tier. </w:t>
      </w:r>
      <w:r>
        <w:t xml:space="preserve">HIGH = GDPR Article 9 categories and HIPAA / Privacy-Act equivalents only. MEDIUM = direct identifiers without Article 9 status (names, emails, account numbers). LOW = quasi-identifiers (city, job title).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Span. </w:t>
      </w:r>
      <w:r>
        <w:t xml:space="preserve">Minimal span over the entity tokens. Exclude honorifics (Dr./Mr.) and leading/trailing punctuation unless they are part of the canonical form. For partial forms, span only the visible characters.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Disclosed. </w:t>
      </w:r>
      <w:r>
        <w:t xml:space="preserve">Mark true only when the span attributes a value to an in-text individual. Abstract category mentions, hypotheticals, and denials are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Implicit Article 9. </w:t>
      </w:r>
      <w:r>
        <w:t xml:space="preserve">If an Article 9 attribute is only inferable (not stated), the correct value is disclosed = false — note it in the comment. Do not promote the tier on inference alone.</w:t>
      </w:r>
    </w:p>
    <w:p>
      <w:pPr>
        <w:pStyle w:val="Heading1"/>
      </w:pPr>
      <w:r>
        <w:t xml:space="preserve">Task 1 — Entity validation</w:t>
      </w:r>
    </w:p>
    <w:p>
      <w:pPr>
        <w:spacing w:after="120"/>
      </w:pPr>
      <w: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task1_entities_A1.csv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task1_entities_A2.csv</w:t>
      </w:r>
      <w:r>
        <w:t xml:space="preserve">  (~510 rows, one entity each).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</w:t>
      </w:r>
      <w:r>
        <w:rPr>
          <w:rFonts w:ascii="Consolas" w:cs="Consolas" w:eastAsia="Consolas" w:hAnsi="Consolas"/>
          <w:sz w:val="20"/>
          <w:szCs w:val="20"/>
        </w:rPr>
        <w:t xml:space="preserve">text</w:t>
      </w:r>
      <w:r>
        <w:t xml:space="preserve">, then locate the entity at </w:t>
      </w:r>
      <w:r>
        <w:rPr>
          <w:rFonts w:ascii="Consolas" w:cs="Consolas" w:eastAsia="Consolas" w:hAnsi="Consolas"/>
          <w:sz w:val="20"/>
          <w:szCs w:val="20"/>
        </w:rPr>
        <w:t xml:space="preserve">[char_start, char_end]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the five judgment columns (</w:t>
      </w:r>
      <w:r>
        <w:rPr>
          <w:rFonts w:ascii="Consolas" w:cs="Consolas" w:eastAsia="Consolas" w:hAnsi="Consolas"/>
          <w:sz w:val="20"/>
          <w:szCs w:val="20"/>
        </w:rPr>
        <w:t xml:space="preserve">type, span, disclosed, form, tier</w:t>
      </w:r>
      <w:r>
        <w:t xml:space="preserve">) with AGREE / DISAGREE / BORDERLINE.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</w:t>
      </w:r>
      <w:r>
        <w:rPr>
          <w:rFonts w:ascii="Consolas" w:cs="Consolas" w:eastAsia="Consolas" w:hAnsi="Consolas"/>
          <w:sz w:val="20"/>
          <w:szCs w:val="20"/>
        </w:rPr>
        <w:t xml:space="preserve">comment</w:t>
      </w:r>
      <w:r>
        <w:t xml:space="preserve"> for any DISAGREE or BORDERLINE.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</w:t>
      </w:r>
      <w:r>
        <w:rPr>
          <w:b/>
          <w:bCs/>
        </w:rPr>
        <w:t xml:space="preserve">not</w:t>
      </w:r>
      <w:r>
        <w:t xml:space="preserve"> edit the gold columns or </w:t>
      </w:r>
      <w:r>
        <w:rPr>
          <w:rFonts w:ascii="Consolas" w:cs="Consolas" w:eastAsia="Consolas" w:hAnsi="Consolas"/>
          <w:sz w:val="20"/>
          <w:szCs w:val="20"/>
        </w:rPr>
        <w:t xml:space="preserve">sample_id</w:t>
      </w:r>
      <w:r>
        <w:t xml:space="preserve">.</w:t>
      </w:r>
    </w:p>
    <w:p>
      <w:pPr>
        <w:pStyle w:val="Heading1"/>
      </w:pPr>
      <w:r>
        <w:t xml:space="preserve">Task 2 — Record audit (recall check)</w:t>
      </w:r>
    </w:p>
    <w:p>
      <w:pPr>
        <w:spacing w:after="120"/>
      </w:pPr>
      <w: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task2_audit_A1.csv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task2_audit_A2.csv</w:t>
      </w:r>
      <w:r>
        <w:t xml:space="preserve">  (25 rows, one full record per language).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whole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</w:rPr>
        <w:t xml:space="preserve">missed_list</w:t>
      </w:r>
      <w:r>
        <w:t xml:space="preserve">, list any genuine PII the gold did </w:t>
      </w:r>
      <w:r>
        <w:rPr>
          <w:b/>
          <w:bCs/>
        </w:rPr>
        <w:t xml:space="preserve">not</w:t>
      </w:r>
      <w:r>
        <w:t xml:space="preserve"> annotate (and put the count in </w:t>
      </w:r>
      <w:r>
        <w:rPr>
          <w:rFonts w:ascii="Consolas" w:cs="Consolas" w:eastAsia="Consolas" w:hAnsi="Consolas"/>
          <w:sz w:val="20"/>
          <w:szCs w:val="20"/>
        </w:rPr>
        <w:t xml:space="preserve">missed_count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</w:rPr>
        <w:t xml:space="preserve">spurious_list</w:t>
      </w:r>
      <w:r>
        <w:t xml:space="preserve">, list any gold annotations that are </w:t>
      </w:r>
      <w:r>
        <w:rPr>
          <w:b/>
          <w:bCs/>
        </w:rPr>
        <w:t xml:space="preserve">not</w:t>
      </w:r>
      <w:r>
        <w:t xml:space="preserve"> actually PII.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catches missed and over-tagged entities, which Task 1 cannot.</w:t>
      </w:r>
    </w:p>
    <w:p>
      <w:pPr>
        <w:pStyle w:val="Heading1"/>
      </w:pPr>
      <w:r>
        <w:t xml:space="preserve">Worked examples</w:t>
      </w:r>
    </w:p>
    <w:p>
      <w:pPr>
        <w:spacing w:after="120"/>
      </w:pPr>
      <w:r>
        <w:rPr>
          <w:b/>
          <w:bCs/>
        </w:rPr>
        <w:t xml:space="preserve">Example A — straightforward. </w:t>
      </w:r>
      <w:r>
        <w:t xml:space="preserve">Text: “…reach me at s.patel@northwind.co.uk or +44 7700 900142.”  Entity under review: </w:t>
      </w:r>
      <w:r>
        <w:rPr>
          <w:rFonts w:ascii="Consolas" w:cs="Consolas" w:eastAsia="Consolas" w:hAnsi="Consolas"/>
          <w:sz w:val="20"/>
          <w:szCs w:val="20"/>
        </w:rPr>
        <w:t xml:space="preserve">s.patel@northwind.co.uk</w:t>
      </w:r>
      <w:r>
        <w:t xml:space="preserve">.  Gold: type = Work_Email_Address, disclosed = true, form = complete, tier = MEDIUM.</w:t>
      </w:r>
    </w:p>
    <w:p>
      <w:pPr>
        <w:spacing w:after="160"/>
      </w:pPr>
      <w:r>
        <w:t xml:space="preserve">Judgment: type </w:t>
      </w:r>
      <w:r>
        <w:rPr>
          <w:b/>
          <w:bCs/>
        </w:rPr>
        <w:t xml:space="preserve">AGREE</w:t>
      </w:r>
      <w:r>
        <w:t xml:space="preserve">, span </w:t>
      </w:r>
      <w:r>
        <w:rPr>
          <w:b/>
          <w:bCs/>
        </w:rPr>
        <w:t xml:space="preserve">AGREE</w:t>
      </w:r>
      <w:r>
        <w:t xml:space="preserve">, disclosed </w:t>
      </w:r>
      <w:r>
        <w:rPr>
          <w:b/>
          <w:bCs/>
        </w:rPr>
        <w:t xml:space="preserve">AGREE</w:t>
      </w:r>
      <w:r>
        <w:t xml:space="preserve">, form </w:t>
      </w:r>
      <w:r>
        <w:rPr>
          <w:b/>
          <w:bCs/>
        </w:rPr>
        <w:t xml:space="preserve">AGREE</w:t>
      </w:r>
      <w:r>
        <w:t xml:space="preserve">, tier </w:t>
      </w:r>
      <w:r>
        <w:rPr>
          <w:b/>
          <w:bCs/>
        </w:rPr>
        <w:t xml:space="preserve">AGREE</w:t>
      </w:r>
      <w:r>
        <w:t xml:space="preserve">. (A direct identifier with no Article 9 status, so MEDIUM is right.) No comment needed.</w:t>
      </w:r>
    </w:p>
    <w:p>
      <w:pPr>
        <w:spacing w:after="120"/>
      </w:pPr>
      <w:r>
        <w:rPr>
          <w:b/>
          <w:bCs/>
        </w:rPr>
        <w:t xml:space="preserve">Example B — edge case. </w:t>
      </w:r>
      <w:r>
        <w:t xml:space="preserve">Text: “Noting your request for leave to observe Ramadan, HR approved…”  Entity under review: </w:t>
      </w:r>
      <w:r>
        <w:rPr>
          <w:rFonts w:ascii="Consolas" w:cs="Consolas" w:eastAsia="Consolas" w:hAnsi="Consolas"/>
          <w:sz w:val="20"/>
          <w:szCs w:val="20"/>
        </w:rPr>
        <w:t xml:space="preserve">Ramadan</w:t>
      </w:r>
      <w:r>
        <w:t xml:space="preserve">.  Gold: type = Religion, disclosed = true, form = complete, tier = HIGH.</w:t>
      </w:r>
    </w:p>
    <w:p>
      <w:pPr>
        <w:spacing w:after="120"/>
      </w:pPr>
      <w:r>
        <w:t xml:space="preserve">Judgment: type </w:t>
      </w:r>
      <w:r>
        <w:rPr>
          <w:b/>
          <w:bCs/>
        </w:rPr>
        <w:t xml:space="preserve">AGREE</w:t>
      </w:r>
      <w:r>
        <w:t xml:space="preserve">, span </w:t>
      </w:r>
      <w:r>
        <w:rPr>
          <w:b/>
          <w:bCs/>
        </w:rPr>
        <w:t xml:space="preserve">AGREE</w:t>
      </w:r>
      <w:r>
        <w:t xml:space="preserve">, form </w:t>
      </w:r>
      <w:r>
        <w:rPr>
          <w:b/>
          <w:bCs/>
        </w:rPr>
        <w:t xml:space="preserve">AGREE</w:t>
      </w:r>
      <w:r>
        <w:t xml:space="preserve">, tier </w:t>
      </w:r>
      <w:r>
        <w:rPr>
          <w:b/>
          <w:bCs/>
        </w:rPr>
        <w:t xml:space="preserve">AGREE</w:t>
      </w:r>
      <w:r>
        <w:t xml:space="preserve">, disclosed </w:t>
      </w:r>
      <w:r>
        <w:rPr>
          <w:b/>
          <w:bCs/>
        </w:rPr>
        <w:t xml:space="preserve">BORDERLINE</w:t>
      </w:r>
      <w:r>
        <w:t xml:space="preserve"> — comment: “Religion is inferred from the observance, not stated as the person's religion; per the implicit-Article-9 rule this should be disclosed = false. Flagging the gold.”</w:t>
      </w:r>
    </w:p>
    <w:p>
      <w:pPr>
        <w:spacing w:before="80"/>
      </w:pPr>
      <w:r>
        <w:t xml:space="preserve">For more edge cases, see the calibration guide (25 worked examples).</w:t>
      </w:r>
    </w:p>
    <w:p>
      <w:pPr>
        <w:pStyle w:val="Heading1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 independently. </w:t>
      </w:r>
      <w:r>
        <w:t xml:space="preserve">Do not compare sheets or confer with the other annotator until you are both finished — this is what makes the agreement statistic valid.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</w:t>
      </w:r>
      <w:r>
        <w:rPr>
          <w:rFonts w:ascii="Consolas" w:cs="Consolas" w:eastAsia="Consolas" w:hAnsi="Consolas"/>
          <w:sz w:val="20"/>
          <w:szCs w:val="20"/>
        </w:rPr>
        <w:t xml:space="preserve">sample_id</w:t>
      </w:r>
      <w:r>
        <w:t xml:space="preserve"> and the gold columns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done, save with your annotator code in the filename and send back all of your filled CSVs (both tasks).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2026-06-10T19:34:52.474Z</dcterms:created>
  <dcterms:modified xsi:type="dcterms:W3CDTF">2026-06-10T19:34:52.475Z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