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บัญชีและการเงิน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เงินทดรองจ่ายพนักงาน FA-G-10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ระเบียบปฏิบัติ | ชื่อระเบียบปฏิบัติ       | วันที่มีผลบังคับใช้     | อนูมัติโดย        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|------------------|-----------------------------|--------------------------|---------------------------|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FA-G-10          | เงินทดรองจ่ายพนักงาน        | 15 มกราคม 2568           | รณกฤต พจมานพรชัย  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วัตถุประสงค์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กำหนดขั้นตอนการปฏิบัติที่ชัดเจน และการควบคุมภายในที่มีประสิทธิผลสำหรับเงินทดรองจ่ายพนักงาน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มีผลบังคับใช้กับ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พนักงานบริษัท ซีพี แอ็กซ์ตร้า จำกัด (มหาชน) ธุรกิจค้าปลีก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คำจำกัดความ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**ผู้มีอำนาจอนุมัติ**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ผู้บังคับบัญชาของพนักงานที่มีอำนาจอนุมัติตามที่ระบุในเอกสารแนบ FA-G-10 (A)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**ใบเบิกเงินทดรองจ่ายที่สมบูรณ์**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ใบเบิกเงินทดรองจ่ายที่ทำผ่านระบบ Advance Pay ใน IT Comm หรือ iExpense ใน Oracle ERP (สำหรับศูนย์กระจายสินค้า) หรือแบบฟอร์มค่าใช้จ่าย (ในกรณีที่ไม่สามารถทำรายการผ่านระบบได้) ที่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กรอกข้อมูลครบถ้วน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แนบเอกสารประกอบ สำหรับทุกรายการที่ขอเบิกและ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ได้รับการอนุมัติโดยผู้มีอำนาจอนุมัติผ่านระบบ หรือกรณีใช้แบบฟอร์ม ได้รับการอนุมัติโดยผู้มีอำนาจอนุมัติพร้อมระบุชื่อตัวบรรจงและตำแหน่งของพนักงานและผู้มีอำนาจอนุมัติ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**ตารางเบิกเงินทดรองจ่าย**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วันและเวลาที่พนักงานสามารถเบิกเงินทดรองจ่ายตามที่ระบุในเอกสารแนบ FA-G-10 (A)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**ตารางจ่ายเงินพนักงาน**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วันและเวลาที่บริษัทจ่ายเงินพนักงานตามที่ระบุในเอกสารแนบ FA-G-10 (A)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ขั้นตอนการปฏิบัติ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ขั้นตอน | R     | A      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|---------|--------|-----------|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ค่าใช้จ่ายที่อนุญาต |        |        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 รายการซื้อสินค้าและบริการที่ไม่กำหนดให้ออกใบสั่งซื้อ (Purchase Order) ตามระเบียบปฏิบัติการสั่งซื้อสินค้าและบริการจากคู่ค้า ของแผนกจัดซื้อ |        |        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**การเบิกเงินทดรองจ่าย**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พนักงานสามารถเบิกเงินทดรองจ่ายสำหรับค่าใช้จ่ายที่อนุญาตเท่านั้น และต้องระบุกิจกรรมธุรกิจที่จะใช้เงินทดรองจ่ายอย่างชัดเจน | พนักงาน | ผู้อนุมัติ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พนักงานไม่สามารถเบิกเงินทดรองจ่ายในกรณีที่แผนกของพนักงานมีวงเงินสดย่อยที่จัดตั้งขึ้นเพื่อวัตถุประสงค์ซึ่งครอบคลุมกิจกรรมธุรกิจนั้น | พนักงาน | ผู้อนุมัติ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พนักงานสามารถเบิกเงินทดรองจ่ายได้โดยส่งใบเบิกเงินทดรองจ่ายที่สมบูรณ์ ผ่านระบบ Advance Pay ใน IT Comm หรือ iExpense ในระบบ Oracle ERP (สำหรับศูนย์กระจายสินค้า) หรือใช้แบบฟอร์มค่าใช้จ่ายส่งที่แผนกบัญชี กรณีที่ไม่สามารถทำรายการผ่านระบบได้ | พนักงาน | บัญชี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กรณีเบิกเงินทดรองจ่ายสำหรับค่ารับรอง ซึ่งตามระเบียบปฏิบัติว่าด้วยของกำนัลและการเลี้ยงรับรอง ที่ออกโดยแผนกกฎหมาย กำหนดให้จัดทำทะเบียนของกำนัล ต้องแนบสำเนาทะเบียนของกำนัลมาพร้อมกับใบเบิกเงินทดรองจ่ายที่สมบูรณ์ด้วย | พนักงาน | ผู้อนุมัติ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พนักงานต้องระบุวันที่ต้องการเงินทดรองจ่าย (Date Requested) ตามตารางจ่ายเงินพนักงานเท่านั้น วันที่ต้องการเงินทดรองจ่ายต้องถัดจากวันส่งใบเบิกเงินทดรองจ่ายที่สมบูรณ์ให้แผนกบัญชีไม่น้อยกว่า 5 วันทำการ และต้องไม่ก่อนวันที่คาดว่าจะดำเนินกิจกรรมธุรกิจที่ได้รับอนุมัติเกินกว่า 10 วันทำการ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โดยปกติแล้วกิจกรรมธุรกิจที่จะเบิกเงินทดรองจ่าย ต้องเกิดขึ้นหลังจากได้รับเงินทดรองจ่าย หากกิจกรรมธุรกิจเกิดแล้วพนักงานจะต้องใช้ระเบียบปฏิบัติการเบิกค่าใช้จ่ายพนักงาน (FA-G-02) แทน | พนักงาน | ผู้อนุมัติ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พนักงานต้องระบุวันที่จะ settle เงินทดรองจ่าย (Date to be settled) ไม่เกิน 30 วันนับจากวันที่ได้รับเงินทดรองจ่าย | พนักงาน | ผู้อนุมัติ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ขั้นตอนการปฏิบัติ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ขั้นตอน | R     | A        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|---------|--------|-----------|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 แผนกบัญชีสามารถปฏิเสธการเบิกเงินทดรองจ่ายในกรณีต่อไปนี้ | พนักงาน | บัญชี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- การเบิกเงินทดรองจ่ายไม่เป็นไปตามระเบียบปฏิบัตินี้ หรือขัดแย้งกับระเบียบปฏิบัติอื่นของบริษัท | |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- กิจกรรมทางธุรกิจที่จะนำเงินทดรองจ่ายไปใช้ไม่เป็นไปเพื่อวัตถุประสงค์ทางธุรกิจที่เหมาะสมของบริษัท | |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- พนักงานมีเงินทดรองจ่ายที่ยังไม่ได้ settle หลังจากวันที่จะ settle เงินทดรองจ่ายที่ระบุไว้ เว้นแต่ได้แจ้งแผนกบัญชีไว้ถึงเหตุสุดวิสัย | |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แผนกบัญชีจะจ่ายเงินให้พนักงานโดยโอนเงินเข้าบัญชีเงินเดือนของพนักงานตามตารางจ่ายเงินพนักงาน | พนักงาน | บัญชี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**การใช้เงินทดรองจ่าย**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พนักงานสามารถใช้เงินทดรองจ่ายกับค่าใช้จ่ายและกิจกรรมธุรกิจตามที่ได้รับอนุมัติเท่านั้น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เงินทดรองจ่ายถือเป็นภาระหนี้สินของพนักงาน | พนักงาน | ผู้อนุมัติ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**การ settle เงินทดรองจ่าย**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พนักงานต้อง settle เงินทดรองจ่ายเต็มจำนวนภายในวันที่จะ settle เงินทดรองจ่ายที่ระบุไว้ | พนักงาน | บัญชี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กรณีที่กิจกรรมธุรกิจที่ได้รับอนุมัติยกเลิกหรือเลื่อนไปเป็นเวลานานกว่า 2 เดือน พนักงานต้องแจ้งแผนกบัญชีทันทีและคืนเงินทดรองจ่ายเต็มจำนวนโดยนำเงินฝากเข้าบัญชีธนาคารของบริษัท | พนักงาน | บัญชี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พนักงานสามารถ settle เงินทดรองจ่าย โดยส่งใบเบิกค่าใช้จ่ายและเอกสารประกอบตามที่ระบุไว้ในระเบียบปฏิบัติการเบิกค่าใช้จ่ายพนักงาน (FA-G-02) ที่แผนกบัญชีตามตารางเบิกค่าใช้จ่ายตามที่ระบุไว้ในระเบียบปฏิบัติการเบิกค่าใช้จ่ายพนักงาน (FA-G-02) | พนักงาน | บัญชี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การบันทึกรายการ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แผนกบัญชีจะบันทึกลูกหนี้พนักงานสำหรับเงินทดรองจ่ายที่เบิกในงวดบัญชีที่พนักงานได้รับเงินทดรองจ่าย | บัญชี | บัญชี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FA-G-10 (A) เอกสารแนบ FA-G-10 : เงินทดรองจ่ายพนักงาน 15 มกราคม 2568 ภาวินี ชัยวัฒนะ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เอกสารแนบ ก : ตารางเบิกเงินทดรองจ่ายและจ่ายเงินพนักงาน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ตารางเบิกเงินทดรองจ่าย | ตารางการจ่ายเงินพนักงาน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|--------------------------|----------------------------|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การเบิกเงินทดรองจ่าย พนักงานสามารถเบิกได้ทุกวัน แต่จะต้องอนุมัติรายการผ่านระบบเสร็จสิ้น ภายในวันศุกร์ เวลา 12.00 | การ settle เงินทดรองจ่าย จะต้องนำส่งเอกสารวันอังคาร – วันพุธ เวลา 9.00 น. ถึง 12.00 น. ยกเว้นสัปดาห์สุดท้ายของงวดบัญชี วันศุกร์ของสัปดาห์ถัดไปหลังจากการเบิกเงินทดรองจ่ายผ่านระบบเสร็จสิ้น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เอกสารแนบ ข : อำนาจอนุมัติ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สำนักงานใหญ่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ผู้มีอำนาจอนุมัติ | เงินทดรองจ่ายพนักงานทั่วไป (THB) | NEW STORE SETUP (THB)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|---------------------|----------------------------------|------------------------|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Senior Manager      | 20,000                           | 200,000               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Director            | 100,000                          | 500,000               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Senior Director     | &gt; 100,000                        | &gt; 500,000            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เสนอโดย ___________________________________________ (บุณยนุช ธรณ์ฤทธิ์)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Associate Director – Accounting Payable and Accounting Receivable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วันที่…......./..…...../…........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อนุมัติโดย ___________________________________________ (ภาวินี ชัยวัฒนะ)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Director - Accounting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วันที่…......./..…...../…........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(1) เงินทดรองจ่ายจำนวนไม่เกิน 20,000 บาท จะต้องได้รับอนุมัติขั้นสุดท้ายจาก Senior Manager – Accounting GL &amp; Fixed assets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เงินทดรองจ่ายจำนวนมากกว่า 20,000 บาท จะต้องได้รับอนุมัติขั้นสุดท้ายจาก Director – Accounting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### RETAIL OPERATION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ผู้มีอำนาจอนุมัติ | ทั่วไป (THB) | สาธารณูปโภค Hypermarket (THB) | Supermarket (THB) 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|---------------------|--------------|-------------------------------|-------------------|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Store Manager (Hypermarket, Supermarket) | 10,000 | 100,000 | 20,000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Area General Manager (AGM)               | 30,000 | 200,000 | 100,000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Director - Region Operations             | 100,000 | 300,000 | 200,000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Senior Director                          | 1 ล้าน  | 5 ล้าน   |          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### DISTRIBUTION OPERATION(2)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ผู้มีอำนาจอนุมัติ      | เงินทดรองจ่ายพนักงาน (THB)(1)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|-------------------------|-------------------------------|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General Manager         | 20,000                       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Distribution Director   | 100,000                      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Senior Director         | &gt; 100,000                    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(1) เงินทดรองจ่ายจำนวนไม่เกิน 20,000 บาท จะต้องได้รับอนุมัติขั้นสุดท้ายจาก Senior Manager – Accounting GL &amp; Fixed assets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เงินทดรองจ่ายจำนวนมากกว่า 20,000 บาท จะต้องได้รับอนุมัติขั้นสุดท้ายจาก Director – Accounting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(2) เงินทดรองจ่ายสำหรับศูนย์กระจายสินค้าทำผ่าน iExpense ในระบบ Oracle ERP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บัญชีและการเงิน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การ register คู่ค้าและเกณฑ์การจ่ายชำระ Trade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**ระเบียบปฏิบัติ:** FA-G-15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**ชื่อระเบียบปฏิบัติ:** การ register คู่ค้าและเกณฑ์การจ่ายชำระ Trade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**วันที่มีผลบังคับใช้:** 15 มกราคม 2568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**อนุมัติโดย:** รณกฤต พจมานพรชัย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วัตถุประสงค์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กำหนดขั้นตอนการปฏิบัติที่ชัดเจน และการควบคุมภายในที่มีประสิทธิผลสำหรับการเพิ่มและเปลี่ยนแปลงข้อมูล การตรวจสอบวิเคราะห์สถานะ (due diligence) และการจ่ายชำระเงิน สำหรับคู่ค้า Trade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มีผลบังคับใช้กับ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คู่ค้าที่เป็น Trade supplier ทั้งหมด (สินค้ามีไว้เพื่อขาย ) สำหรับบริษัท ซีพี แอ็กซ์ตร้า จำกัด (มหาชน) ธุรกิจค้าปลีก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ระเบียบปฏิบัติ FA-G-15: การ Register คู่ค้าและเกณฑ์การจ่ายชำระ Trade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ข้อมูลทั่วไป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รายการ              | รายละเอียด                                           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|----------------------|------------------------------------------------------|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รหัสระเบียบปฏิบัติ | FA-G-15                                              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ชื่อระเบียบปฏิบัติ | การ register คู่ค้าและเกณฑ์การจ่ายชำระ Trade      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วันที่มีผลบังคับใช้ | 15 มกราคม 2568                                      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อนุมัติโดย           | รณกฤต พจมานพรชัย                                    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## 🎯 วัตถุประสงค์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กำหนดขั้นตอนการปฏิบัติที่ชัดเจน และการควบคุมภายในที่มีประสิทธิผลสำหรับการเพิ่มและเปลี่ยนแปลงข้อมูล การตรวจสอบวิเคราะห์สถานะ (due diligence) และการจ่ายชำระเงิน สำหรับคู่ค้า Trade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## 📌 ขอบเขตการใช้งาน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ระเบียบนี้มีผลบังคับใช้กับ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**คู่ค้าที่เป็น Trade supplier ทั้งหมด (สินค้ามีไว้เพื่อขาย)** สำหรับ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บริษัท ซีพี แอ็กซ์ตร้า จำกัด (มหาชน) ธุรกิจค้าปลีก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หากต้องการแปลง **ส่วนถัดไป** (เช่น การเปิดรหัสคู่ค้า, Due Diligence, ตารางรหัส, วิธีการชำระเงิน, เอกสารแนบ ฯลฯ) แจ้งได้เลยครับ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หรือหากต้องการให้ผมรวมทั้งหมดเป็นไฟล์ `.md` ให้ดาวน์โหลด ก็สามารถทำให้ได้เช่นกัน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## 📘 ระเบียบปฏิบัติ: การทำสัญญา, การตรวจสอบวิเคราะห์สถานะ (Due Diligence) และการเพิ่ม/เปลี่ยนแปลงข้อมูลคู่ค้า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### 🧾 ขั้นตอนการดำเนินการ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ขั้นตอน | ผู้รับผิดชอบ (R) | ผู้อนุมัติ (A) 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|---------|-------------------|-----------------|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ส่ง Vendor Information Form, Vendor Approval Form และเอกสารแนบ ก ให้แผนกบัญชี ตามตารางแนบ ข | พนักงานจัดซื้อ (Buyer) | - 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ขออนุมัติการเปิดคู่ค้าจากผู้มีอำนาจในแต่ละแผนก: &lt;br&gt; - Commercial: Associate Director ขึ้นไป &lt;br&gt; - Quality: Senior Manager - Quality Assurance | พนักงานจัดซื้อ | ผู้มีอำนาจแต่ละแผนก 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ประสานแผนก Quality กรอกแบบสอบถาม Pre-Audit &amp; Audit Report Summary | พนักงานจัดซื้อ | ผู้อนุมัติ / เจ้าหน้าที่บัญชี 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ตรวจสอบและลงนามสัญญามาตรฐานบริษัท ก่อนส่งให้บัญชี | พนักงานจัดซื้อ | ผู้อนุมัติ / เจ้าหน้าที่บัญชี 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ตรวจสอบเลขผู้เสียภาษี และจัดทำ Supplier Site ตามประเภทในระบบ (อ้างอิงเอกสารแนบ ค) | เจ้าหน้าที่บัญชี | เจ้าหน้าที่บัญชี |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ทำ Due Diligence และประเมินความเสี่ยงทางการเงิน (ตามแนบ ง) | พนักงานจัดซื้อ | ผู้อนุมัติ / บัญชี / Director - Accounting |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หาก Reactivate รหัสคู่ค้าที่เคยใช้มาก่อน และยังมีรหัสอื่นอยู่ → ไม่ต้องประเมินใหม่ | พนักงานจัดซื้อ | เจ้าหน้าที่บัญชี |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แจ้งการแก้ไขข้อมูลคู่ค้าเดิมและแนบเอกสารประกอบให้บัญชีอัปเดตระบบ | พนักงานจัดซื้อ | เจ้าหน้าที่บัญชี |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กรอกข้อมูลลงระบบภายในเวลาที่กำหนด (แนบ ข) | เจ้าหน้าที่บัญชี | ผู้จัดการแผนกบัญชี |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## 🧾 การควบคุมและรายงานข้อมูลคู่ค้า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ขั้นตอน | ผู้รับผิดชอบ (R) | ผู้อนุมัติ (A) |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|---------|-------------------|-----------------|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ตรวจสอบและจัดทำรายงานเปลี่ยนแปลงใน supplier master data ทุก period พร้อมสุ่มตรวจเอกสาร | ผู้จัดการแผนกบัญชี | Associate Director – AP&amp;AR |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Inactivate คู่ค้าที่ไม่มีรายการซื้อขายในช่วง 18 เดือน (ปีละครั้ง) โดยแจ้ง Buyer ตรวจสอบและอนุมัติ | เจ้าหน้าที่บัญชี | ผู้จัดการแผนกบัญชี + Associate Director (Commercial) |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หากต้องการ Reactivate คู่ค้า → ใช้วิธีการเปิดคู่ค้าใหม่ | เจ้าหน้าที่บัญชี | ผู้จัดการแผนกบัญชี 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## 💰 เกณฑ์การชำระเงิน (Payment Terms)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### 🔁 รอบการจ่ายเงินมาตรฐาน (Standard Payment Term)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ประเภทสินค้า                | รอบการจ่ายเงินมาตรฐาน        |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|----------------------------|-------------------------------|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Fresh Food (Local supplier*)     | 15 วัน                      |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Fresh Food (Big supplier)        | 30 วัน รวบบิล / 15 วันจากวันขาย (ฝากขาย) |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Dry grocery                      | 60 วัน รวบบิล              |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Liquor &amp; Tobacco                | 45 วัน รวบบิล              |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Apparel                         | 60 วัน รวบบิล              |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Hardline – Home                 | 60 วัน รวบบิล              |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Hardline – Electronic           | 60 วัน รวบบิล              |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*Local supplier = ธุรกิจที่โดยปกติต้องจ่ายชำระค่าสินค้าเป็นเงินสดในวันที่ส่งสินค้า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### 🧾 รอบการจ่ายเงินสำหรับผู้ประกอบการ SMEs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ประเภทสินค้า                                                         | รอบการจ่ายเงิน |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|----------------------------------------------------------------------|-----------------|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กลุ่มสินค้าเกษตร / สินค้าเกษตรชุมชน / วิสาหกิจชุมชน / OTOP         | 30 วัน          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กลุ่มสินค้าอื่น ๆ                                                    | 45 วัน          |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ความหมายของ SMEs: อ้างอิงตามกฎหมายว่าด้วยการกำหนดลักษณะของวิสาหกิจขนาดกลางและขนาดย่อม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### 📆 วิธีการนับวันจ่ายเงิน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รอบการจ่ายเงินจะนับจากวันใดวันหนึ่งที่ "ช้ากว่า" ระหว่าง: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1. วันที่ได้รับสินค้า/บริการ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2. วันที่ได้รับใบแจ้งหนี้ที่ถูกต้อง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### 🚫 ข้อจำกัดเกี่ยวกับรอบจ่ายเงิน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คู่ค้าที่มีรอบจ่ายเงินต่างจากมาตรฐาน ต้องได้รับอนุมัติจาก: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Associate Director (Commercial) ขึ้นไป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- Director – Finance Retail Business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- Chief Financial Officer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**ไม่อนุญาต** ให้จ่ายล่าช้า ยกเว้น: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กรณีพิเศษ เช่น ใบแจ้งหนี้ผิด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**ห้าม**: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ขอเลื่อนการจ่าย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ทำสัญญาต่างตอบแทน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ให้คู่ค้ากู้ยืมเงิน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### 💵 การจ่ายล่วงหน้า / ส่วนลด (Cash Discount)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หากต้องการจ่ายล่วงหน้าเพื่อรับส่วนลด: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ต้องอ้างอิงตามขั้นตอนและแบบฟอร์มของระเบียบปฏิบัติเรื่อง Cash Discount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ต้องได้รับอนุมัติจาก Chief Financial Officer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ต้องมี business case และสัญญาเป็นลายลักษณ์อักษร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### 📋 วิธีการจ่ายเงิน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วิธีการจ่ายเงินมาตรฐาน: อ้างอิงตาม **เอกสารแนบ จ**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หากใช้วิธีอื่น: ต้องได้รับอนุมัติจาก Chief Financial Officer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## 🧾 การออกใบแจ้งหนี้ / ใบเพิ่มหนี้ / ใบลดหนี้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ขั้นตอน                                                                                       | ผู้รับผิดชอบ (R) | ผู้อนุมัติ (A)         |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|------------------------------------------------------------------------------------------------|------------------|--------------------------|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การออกใบแจ้งหนี้ / ใบเพิ่มหนี้ / ใบลดหนี้ สำหรับรายได้ค้างรับ และการออกด้วยมือ จะต้อง:  &lt;br&gt; - ได้รับการตรวจทานและอนุมัติตามแนวทาง FA-C-01 (รายได้จากการจัดซื้อและการบันทึกบัญชี) | Requestor        | ผู้อนุมัติ / เจ้าหน้าที่บัญชี |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## 💼 โครงการจัดหาเงินทุนของผู้ขาย (Vendor Financing Schemes)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ขั้นตอน                                                                                               | ผู้รับผิดชอบ (R) | ผู้อนุมัติ (A)               |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|--------------------------------------------------------------------------------------------------------|------------------|-------------------------------|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การเข้าร่วม Vendor Financing กับธนาคาร จะทำได้เมื่อ:  &lt;br&gt; - ได้รับอนุมัติจาก Chief Financial Officer  &lt;br&gt; - เป็นไปตาม DoA: Delegation of Authority for Finance Transaction &lt;br&gt; - มีเอกสาร Memo ยืนยันจากธนาคาร | เจ้าหน้าที่บัญชี | ผู้จัดการบัญชี               |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## ✍️ การลงนามรับรองระเบียบ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เสนอโดย: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**ภาวินี ชัยวัฒนะ**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Director - Accounting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อนุมัติโดย: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**รณกฤต พจมานพรชัย**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Chief Finance Accounting &amp; Shared Services Officer – Retail Business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เห็นชอบโดย: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**อนุช ศาลารุ่งเรือง**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Senior Director - Retail Merchandising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**พงศธร ปานประสงค์**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Senior Director - Commercial Non-Food &amp; General Merchandise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## 📎 เอกสารแนบ FA-G-15 (A): เอกสารประกอบการเปิดรหัสคู่ค้า (Vendor Information Form)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ชื่อเอกสาร                                                                                                   | บุคคลธรรมดา | นิติบุคคล |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|--------------------------------------------------------------------------------------------------------------|--------------|------------|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| สำเนาหนังสือรับรองการจดทะเบียนการค้า ตามประมวลกฎหมายแพ่งและพาณิชย์                                    | -            | ✔️         |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สำเนาบัตรประจำตัวผู้เสียภาษี                                                                                | ✔️           | ✔️         |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สำเนาใบจดทะเบียนภาษีมูลค่าเพิ่ม (ภ.พ.20) (กรณีจด VAT)                                                     | 🞪           | ✔️         |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หนังสือรับรองเลขที่บัญชีจากธนาคารไทยพาณิชย์                                                                | ✔️           | ✔️         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| สำเนาหน้าสมุดบัญชีธนาคาร SCB (พร้อมตราประทับธนาคาร)                                                       | ✔️           | ✔️         |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สำเนาบัตรประชาชน* และทะเบียนบ้านของกรรมการผู้มีอำนาจ (นิติบุคคล) / คู่ค้า (บุคคลธรรมดา)                | ✔️           | ✔️         |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ข้อตกลงในการซื้อขาย / ส่วนลดมาตรฐาน (ถ้ามี)                                                                 | 🞪           | ✔️         |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| รายงาน Due Diligence จากแผนกกฎหมาย                                                                          | ✔️           | ✔️         |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รายงาน D&amp;B + Memo อนุมัติโดย Director - Accounting (กรณีความเสี่ยงระดับ 4 / ไม่สามารถประเมินได้)         | 🞪           | ✔️         |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สัญญาซื้อขายสินค้า                                                                                           | ✔️           | ✔️         |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| หนังสือยืนยันเป็นผู้ประกอบการ SMEs                                                                          | 🞪           | ✔️         |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| เอกสารยืนยันการอบรมจรรยาบรรณทางธุรกิจ                                                                      | ✔️           | ✔️         |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&gt; 📝 *ต้องขีดฆ่าข้อมูลส่วนบุคคลอ่อนไหว (ศาสนา, หมู่โลหิต) เพื่อให้สอดคล้องกับกฎหมายคุ้มครองข้อมูลส่วนบุคคล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## 🗓️ เอกสารแนบ ข : ตารางเวลาการทำงาน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รายการงาน                         | เวลาดำเนินการ                                               |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|-----------------------------------|-------------------------------------------------------------|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Buyer ยื่นเอกสารเปิดรหัสคู่ค้า    | ทุกวันพฤหัสบดี                                             |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ติดต่อขอรับสำเนาใบเปิดหน้าบัญชี | วันจันทร์ถัดไปหลังเวลา 13:00 เป็นต้นไป                    |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ฝ่ายบัญชีบันทึกข้อมูลคู่ค้าในระบบ| ทุกวันศุกร์                                                 |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## 🧾 เอกสารแนบ ค : รหัสคู่ค้า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ประเภทสินค้า                  | รหัสคู่ค้า (ขึ้นต้นด้วย)       |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|-------------------------------|----------------------------------|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| Fresh Food / Dry Grocery      | 0 (00001 - 09999), 1 (10001 - 19999) |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| Apparel / Hardline            | 5 (50001 - 59999)               |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| Payment on Delivery           | 7 (70001 - 78999)               |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| Consignment                   | 8 (80001 - 84999), 6 (60001 - 69999) |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| Store Supply                  | 79 (79001 - 79999)              |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## 📉 เอกสารแนบ ง : การประเมินความเสี่ยงทางการเงิน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### 📌 ความเสี่ยงที่ยอมรับได้ (D&amp;B)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 Overall Risk Indicator = 1, 2, 3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Debt to Equity Ratio ≤ 200%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❗ กรณียกเว้นไม่ต้องประเมินความเสี่ยงทางการเงิน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บุคคลธรรมดา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สหกรณ์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กลุ่มวิสาหกิจชุมชน / OTOP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หน่วยงานรัฐบาล / รัฐวิสาหกิจ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บริษัทในเครือ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มูลนิธิ / องค์กรไม่แสวงหากำไร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SMEs ที่มียอดซื้อ ≤ 3 ล้านบาทต่อปี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## 💳 เอกสารแนบ จ : วิธีการจ่ายเงิน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รูปแบบการจ่ายเงิน       | รายละเอียด                                                   |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|--------------------------|--------------------------------------------------------------|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เช็ค HSBC                | รับที่ Cheque Express Center (พระราม 3)                     |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โอนเงิน SCB             | โอนได้เฉพาะบัญชีธนาคารไทยพาณิชย์เท่านั้น                  |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โอนผ่าน Bahtnet / ACH   | สำหรับคู่ค้าที่ตกลงไว้เท่านั้น สามารถโอนไปยัง HSBC หรือธนาคารอื่นได้ |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