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บัญชีและการเงิน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เงินทดรองจ่ายพนักงาน FA-G-10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ระเบียบปฏิบัติ | ชื่อระเบียบปฏิบัติ       | วันที่มีผลบังคับใช้     | อนูมัติโดย               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|------------------|-----------------------------|--------------------------|---------------------------|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FA-G-10          | เงินทดรองจ่ายพนักงาน        | 15 มกราคม 2568           | รณกฤต พจมานพรชัย        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วัตถุประสงค์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กำหนดขั้นตอนการปฏิบัติที่ชัดเจน และการควบคุมภายในที่มีประสิทธิผลสำหรับเงินทดรองจ่ายพนักงาน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มีผลบังคับใช้กับ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พนักงานบริษัท ซีพี แอ็กซ์ตร้า จำกัด (มหาชน) ธุรกิจค้าปลีก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คำจำกัดความ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**ผู้มีอำนาจอนุมัติ**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ผู้บังคับบัญชาของพนักงานที่มีอำนาจอนุมัติตามที่ระบุในเอกสารแนบ FA-G-10 (A)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**ใบเบิกเงินทดรองจ่ายที่สมบูรณ์**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ใบเบิกเงินทดรองจ่ายที่ทำผ่านระบบ Advance Pay ใน IT Comm หรือ iExpense ใน Oracle ERP (สำหรับศูนย์กระจายสินค้า) หรือแบบฟอร์มค่าใช้จ่าย (ในกรณีที่ไม่สามารถทำรายการผ่านระบบได้) ที่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กรอกข้อมูลครบถ้วน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แนบเอกสารประกอบ สำหรับทุกรายการที่ขอเบิกและ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ได้รับการอนุมัติโดยผู้มีอำนาจอนุมัติผ่านระบบ หรือกรณีใช้แบบฟอร์ม ได้รับการอนุมัติโดยผู้มีอำนาจอนุมัติพร้อมระบุชื่อตัวบรรจงและตำแหน่งของพนักงานและผู้มีอำนาจอนุมัติ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**ตารางเบิกเงินทดรองจ่าย**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วันและเวลาที่พนักงานสามารถเบิกเงินทดรองจ่ายตามที่ระบุในเอกสารแนบ FA-G-10 (A)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**ตารางจ่ายเงินพนักงาน**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วันและเวลาที่บริษัทจ่ายเงินพนักงานตามที่ระบุในเอกสารแนบ FA-G-10 (A)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ขั้นตอนการปฏิบัติ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ขั้นตอน | R     | A        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|---------|--------|-----------|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ค่าใช้จ่ายที่อนุญาต |        |          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 รายการซื้อสินค้าและบริการที่ไม่กำหนดให้ออกใบสั่งซื้อ (Purchase Order) ตามระเบียบปฏิบัติการสั่งซื้อสินค้าและบริการจากคู่ค้า ของแผนกจัดซื้อ |        |          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**การเบิกเงินทดรองจ่าย**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พนักงานสามารถเบิกเงินทดรองจ่ายสำหรับค่าใช้จ่ายที่อนุญาตเท่านั้น และต้องระบุกิจกรรมธุรกิจที่จะใช้เงินทดรองจ่ายอย่างชัดเจน | พนักงาน | ผู้อนุมัติ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พนักงานไม่สามารถเบิกเงินทดรองจ่ายในกรณีที่แผนกของพนักงานมีวงเงินสดย่อยที่จัดตั้งขึ้นเพื่อวัตถุประสงค์ซึ่งครอบคลุมกิจกรรมธุรกิจนั้น | พนักงาน | ผู้อนุมัติ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พนักงานสามารถเบิกเงินทดรองจ่ายได้โดยส่งใบเบิกเงินทดรองจ่ายที่สมบูรณ์ ผ่านระบบ Advance Pay ใน IT Comm หรือ iExpense ในระบบ Oracle ERP (สำหรับศูนย์กระจายสินค้า) หรือใช้แบบฟอร์มค่าใช้จ่ายส่งที่แผนกบัญชี กรณีที่ไม่สามารถทำรายการผ่านระบบได้ | พนักงาน | บัญชี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กรณีเบิกเงินทดรองจ่ายสำหรับค่ารับรอง ซึ่งตามระเบียบปฏิบัติว่าด้วยของกำนัลและการเลี้ยงรับรอง ที่ออกโดยแผนกกฎหมาย กำหนดให้จัดทำทะเบียนของกำนัล ต้องแนบสำเนาทะเบียนของกำนัลมาพร้อมกับใบเบิกเงินทดรองจ่ายที่สมบูรณ์ด้วย | พนักงาน | ผู้อนุมัติ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พนักงานต้องระบุวันที่ต้องการเงินทดรองจ่าย (Date Requested) ตามตารางจ่ายเงินพนักงานเท่านั้น วันที่ต้องการเงินทดรองจ่ายต้องถัดจากวันส่งใบเบิกเงินทดรองจ่ายที่สมบูรณ์ให้แผนกบัญชีไม่น้อยกว่า 5 วันทำการ และต้องไม่ก่อนวันที่คาดว่าจะดำเนินกิจกรรมธุรกิจที่ได้รับอนุมัติเกินกว่า 10 วันทำการ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โดยปกติแล้วกิจกรรมธุรกิจที่จะเบิกเงินทดรองจ่าย ต้องเกิดขึ้นหลังจากได้รับเงินทดรองจ่าย หากกิจกรรมธุรกิจเกิดแล้วพนักงานจะต้องใช้ระเบียบปฏิบัติการเบิกค่าใช้จ่ายพนักงาน (FA-G-02) แทน | พนักงาน | ผู้อนุมัติ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พนักงานต้องระบุวันที่จะ settle เงินทดรองจ่าย (Date to be settled) ไม่เกิน 30 วันนับจากวันที่ได้รับเงินทดรองจ่าย | พนักงาน | ผู้อนุมัติ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ขั้นตอนการปฏิบัติ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ขั้นตอน | R     | A         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|---------|--------|-----------|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 แผนกบัญชีสามารถปฏิเสธการเบิกเงินทดรองจ่ายในกรณีต่อไปนี้ | พนักงาน | บัญชี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- การเบิกเงินทดรองจ่ายไม่เป็นไปตามระเบียบปฏิบัตินี้ หรือขัดแย้งกับระเบียบปฏิบัติอื่นของบริษัท | |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- กิจกรรมทางธุรกิจที่จะนำเงินทดรองจ่ายไปใช้ไม่เป็นไปเพื่อวัตถุประสงค์ทางธุรกิจที่เหมาะสมของบริษัท | | 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- พนักงานมีเงินทดรองจ่ายที่ยังไม่ได้ settle หลังจากวันที่จะ settle เงินทดรองจ่ายที่ระบุไว้ เว้นแต่ได้แจ้งแผนกบัญชีไว้ถึงเหตุสุดวิสัย | |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แผนกบัญชีจะจ่ายเงินให้พนักงานโดยโอนเงินเข้าบัญชีเงินเดือนของพนักงานตามตารางจ่ายเงินพนักงาน | พนักงาน | บัญชี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**การใช้เงินทดรองจ่าย**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พนักงานสามารถใช้เงินทดรองจ่ายกับค่าใช้จ่ายและกิจกรรมธุรกิจตามที่ได้รับอนุมัติเท่านั้น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เงินทดรองจ่ายถือเป็นภาระหนี้สินของพนักงาน | พนักงาน | ผู้อนุมัติ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**การ settle เงินทดรองจ่าย**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พนักงานต้อง settle เงินทดรองจ่ายเต็มจำนวนภายในวันที่จะ settle เงินทดรองจ่ายที่ระบุไว้ | พนักงาน | บัญชี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กรณีที่กิจกรรมธุรกิจที่ได้รับอนุมัติยกเลิกหรือเลื่อนไปเป็นเวลานานกว่า 2 เดือน พนักงานต้องแจ้งแผนกบัญชีทันทีและคืนเงินทดรองจ่ายเต็มจำนวนโดยนำเงินฝากเข้าบัญชีธนาคารของบริษัท | พนักงาน | บัญชี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พนักงานสามารถ settle เงินทดรองจ่าย โดยส่งใบเบิกค่าใช้จ่ายและเอกสารประกอบตามที่ระบุไว้ในระเบียบปฏิบัติการเบิกค่าใช้จ่ายพนักงาน (FA-G-02) ที่แผนกบัญชีตามตารางเบิกค่าใช้จ่ายตามที่ระบุไว้ในระเบียบปฏิบัติการเบิกค่าใช้จ่ายพนักงาน (FA-G-02) | พนักงาน | บัญชี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การบันทึกรายการ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แผนกบัญชีจะบันทึกลูกหนี้พนักงานสำหรับเงินทดรองจ่ายที่เบิกในงวดบัญชีที่พนักงานได้รับเงินทดรองจ่าย | บัญชี | บัญชี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FA-G-10 (A) เอกสารแนบ FA-G-10 : เงินทดรองจ่ายพนักงาน 15 มกราคม 2568 ภาวินี ชัยวัฒนะ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เอกสารแนบ ก : ตารางเบิกเงินทดรองจ่ายและจ่ายเงินพนักงาน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ตารางเบิกเงินทดรองจ่าย | ตารางการจ่ายเงินพนักงาน |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|--------------------------|----------------------------|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การเบิกเงินทดรองจ่าย พนักงานสามารถเบิกได้ทุกวัน แต่จะต้องอนุมัติรายการผ่านระบบเสร็จสิ้น ภายในวันศุกร์ เวลา 12.00 | การ settle เงินทดรองจ่าย จะต้องนำส่งเอกสารวันอังคาร – วันพุธ เวลา 9.00 น. ถึง 12.00 น. ยกเว้นสัปดาห์สุดท้ายของงวดบัญชี วันศุกร์ของสัปดาห์ถัดไปหลังจากการเบิกเงินทดรองจ่ายผ่านระบบเสร็จสิ้น |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เอกสารแนบ ข : อำนาจอนุมัติ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สำนักงานใหญ่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ผู้มีอำนาจอนุมัติ | เงินทดรองจ่ายพนักงานทั่วไป (THB) | NEW STORE SETUP (THB) 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|---------------------|----------------------------------|------------------------|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Senior Manager      | 20,000                           | 200,000                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| Director            | 100,000                          | 500,000                |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Senior Director     | &gt; 100,000                        | &gt; 500,000              |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เสนอโดย ___________________________________________ (บุณยนุช ธรณ์ฤทธิ์)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Associate Director – Accounting Payable and Accounting Receivable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วันที่…......./..…...../…........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อนุมัติโดย ___________________________________________ (ภาวินี ชัยวัฒนะ)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Director - Accounting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วันที่…......./..…...../…........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(1) เงินทดรองจ่ายจำนวนไม่เกิน 20,000 บาท จะต้องได้รับอนุมัติขั้นสุดท้ายจาก Senior Manager – Accounting GL &amp; Fixed assets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เงินทดรองจ่ายจำนวนมากกว่า 20,000 บาท จะต้องได้รับอนุมัติขั้นสุดท้ายจาก Director – Accounting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### RETAIL OPERATION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ผู้มีอำนาจอนุมัติ | ทั่วไป (THB) | สาธารณูปโภค Hypermarket (THB) | Supermarket (THB) |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|---------------------|--------------|-------------------------------|-------------------|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| Store Manager (Hypermarket, Supermarket) | 10,000 | 100,000 | 20,000 |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| Area General Manager (AGM)               | 30,000 | 200,000 | 100,000 |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| Director - Region Operations             | 100,000 | 300,000 | 200,000 |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Senior Director                          | 1 ล้าน  | 5 ล้าน   |           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### DISTRIBUTION OPERATION(2)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ผู้มีอำนาจอนุมัติ      | เงินทดรองจ่ายพนักงาน (THB)(1) |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|-------------------------|-------------------------------|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| General Manager         | 20,000                        |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 Distribution Director   | 100,000                       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 Senior Director         | &gt; 100,000                     |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(1) เงินทดรองจ่ายจำนวนไม่เกิน 20,000 บาท จะต้องได้รับอนุมัติขั้นสุดท้ายจาก Senior Manager – Accounting GL &amp; Fixed assets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เงินทดรองจ่ายจำนวนมากกว่า 20,000 บาท จะต้องได้รับอนุมัติขั้นสุดท้ายจาก Director – Accounting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(2) เงินทดรองจ่ายสำหรับศูนย์กระจายสินค้าทำผ่าน iExpense ในระบบ Oracle ERP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