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ระเบียบปฏิบัติ เรื่อง อำนาจในการอนุมัติ (Level of Authorization: LOA)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บริษัท ซีพี แอ็กซ์ตร้า จำกัด (มหาชน)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ประวัติการแก้ไขเอกสาร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แก้ไขครั้งที่ | วันที่บังคับใช้       | หมายเลขเอกสาร | รายละเอียดการแก้ไข                   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|----------------|------------------------|----------------|---------------------------------------------|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00             | 1 กุมภาพันธ์ 2568     | CPAX-FN-001    | จัดทำฉบับแรก และยกเลิกเอกสาร MP-FN-001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ผู้จัดทำและผู้อนุมัติเอกสาร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แผนก/ฝ่าย                        | ชื่อ-นามสกุล                    | ตำแหน่ง                                                          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|----------------------------------|----------------------------------|----------------------------------------------------------------------|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Risk Management &amp; Compliance     | Suttiya Vatjanasatit             | Associate Director - Risk Management                            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                                 | Suparat Sumnienghong             | Senior Director - Risk, Business Process, SHE &amp; Loss Prevention  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Finance and Accounting           | Napphasorn Krongkaewarreya       | Department Manager - Compliance Audit                            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                                 | Kamonpong Saejun                 | Senior Manager - Controller                                    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                                 | Phawinee Chaiwattana             | Director – Accounting, Retail Business, Thailand                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                                 | Kanchana Laokitchakanlert        | Director - Accounting, Wholesale Business, Thailand             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                                 | Ronnakitt Pojamarnpornchai       | Chief Finance Accounting &amp; Shared Services Officer – Retail Business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                                 | Rattaya Ngernbumroong            | CFO - Wholesale Business, Thailand                                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                                 | Thanyamas Vorachart              | CFO &amp; Shared Services Officer - Wholesale Business                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Executives                       | Sompong Rungnirattisai           | CEO - Lotus's Thailand                                             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                                 | Tanit Chearavanont               | CEO – Makro Thailand &amp; Group Chief Commercial Officer              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                                | Saowaluck Thithapant             | Group Chief Wholesale Business Officer                             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                                 | Tanin Buranamanit                | Group CEO - CP Axtra                                             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วัตถุประสงค์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กระจายอำนาจการตัดสินใจให้มีประสิทธิภาพ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กำหนดขอบเขตหน้าที่และความรับผิดชอบของผู้บริหาร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 ตั้งมาตรฐานวงเงินอนุมัติที่เหมาะสมตามระดับผู้บริหาร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1.4 เป็นแนวทางในการปฏิบัติงานของพนักงาน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1.5 ใช้เป็นส่วนหนึ่งของระบบควบคุมภายในและการตรวจสอบ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ขอบเขตการใช้งาน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เอกสารนี้มีผลกับทุกหน่วยงานภายในบริษัทฯ ทั้งในส่วนกลาง ธุรกิจค้าส่ง และธุรกิจค้าปลีก ครอบคลุมผู้ที่เกี่ยวข้องกับ: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การอนุมัติค่าใช้จ่ายการลงทุน (CAPEX)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การอนุมัติค่าใช้จ่ายดำเนินงาน (OPEX)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หมวดหมู่การใช้งาน: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รายการที่เหมือนกันของธุรกิจค้าส่งและค้าปลีก (หน้า 8)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รายการของธุรกิจค้าส่ง (หน้า 10)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รายการของธุรกิจค้าปลีก (หน้า 18)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ตารางอำนาจอนุมัติรวม (ค้าส่งและค้าปลีก)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ตำแหน่ง                            | วงเงิน (บาท) | ธุรกิจค้าส่ง       | ธุรกิจค้าปลีก      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|------------------------------------|---------------|----------------------|----------------------|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Group CEO                         | ≤ 200,000,000 | ✅                   | ✅                  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Group Chief Wholesales / Retail   | ≤ 200,000,000 | ✅                   | ✅                 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CEO – Business Unit               | ≤ 100,000,000 | ✅                   | ✅                  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Group Chief (Function) Officer    | ≤ 30,000,000  | ✅                   | ✅                 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Chief (Function)                  | ≤ 28,000,000  | ✅                   | ✅                 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Chief (Division)                  | ≤ 25,000,000  | ✅                   | ✅                 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Senior Director                   | ≤ 20,000,000  | ✅                   | ✅                  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Director                          | ≤ 3,000,000   | ✅                   | ✅                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Associate Director                | ≤ 2,000,000   | ✅                   | ✅                 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Area Manager                      | ≤ 1,000,000   | ✅                   | ❌                 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Senior Manager                    | ≤ 500,000     | ✅                   | ✅                  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ตารางอำนาจของธุรกิจค้าปลีก (Retail Operation)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ตำแหน่ง                 | ประเภทของสโตร์ | ค่าใช้จ่ายทั่วไป | ค่าสาธารณูปโภค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|--------------------------|------------------|--------------------|------------------|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Director - Region Ops    | Hypermarket       | ≤ 100,000 บาท       | ≤ 300,000 บาท  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                         | Supermarket       | ≤ 200,000 บาท       | -              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Area General Manager     | Hypermarket       | ≤ 30,000 บาท        | ≤ 200,000 บาท    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                         | Supermarket       | ≤ 100,000 บาท       | -              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Store Manager            | Hypermarket       | ≤ 10,000 บาท        | ≤ 100,000 บาท  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                         | Supermarket       | ≤ 20,000 บาท        | -              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ตารางที่ 3 ตารางอนุมัติของธุรกิจค้าปลีก – ศูนย์กระจายสินค้า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ตำแหน่ง               | วงเงินค่าใช้จ่ายทั่วไป | วงเงินค่าใช้จ่ายในการขนส่ง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|------------------------|------------------------|-------------------------------|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Distribution Director | ≤ 3,000,000 บาท       | ≤ 5,000,000 บาท             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General Manager       | ≤ 50,000 บาท          | ≤ 3,000,000 บาท             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หมายเหตุ: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ค่าใช้จ่ายในการซ่อมแซมและบำรุงรักษาของสำนักงานใหญ่ Retail Operation หรือศูนย์กระจายสินค้า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ที่เปิด Purchase Requisition ในระบบ Maintenance System ให้ Division Manager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ของแผนก Facility Management &amp; Energy มีอำนาจอนุมัติไม่เกิน 40,000 บาท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หลักเกณฑ์ในการให้และใช้อำนาจดำเนินการ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การอนุมัติใด ๆ ต้องคำนึงถึงความถูกต้องและประโยชน์ของบริษัทเป็นหลัก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กรณีผู้มีอำนาจไม่อยู่ ต้องมอบหมายเป็นลายลักษณ์อักษร (Email หรือ Memo)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การลงนามในเอกสารต้องสอดคล้องกับ Power of Attorney (POA)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ห้ามแบ่งวงเงินในการขออนุมัติออกเป็นหลายครั้ง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ผู้เบิกค่าใช้จ่ายไม่สามารถอนุมัติของตนเองได้ ยกเว้น Group Chief Finance Accounting &amp; Corporate Shared Services Officer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การจัดซื้อจัดจ้างต้องผ่านขั้นตอนตามระเบียบและคณะกรรมการที่เกี่ยวข้อง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หากพบข้อขัดแย้งให้ยึดตาราง Authority Levels and Limits และสายการบังคับบัญชา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การแก้ไขและปรับปรุงตารางอำนาจอนุมัติ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ต้องได้รับความเห็นชอบจาก: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ประธานคณะผู้บริหารกลุ่มธุรกิจค้าส่ง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ประธานคณะผู้บริหารกลุ่มธุรกิจค้าปลีก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ประธานคณะผู้บริหารกลุ่มบริษัทฯ เท่านั้น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คำอธิบายตำแหน่งผู้บริหาร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**Group CEO**: ประธานคณะผู้บริหารกลุ่มบริษัทฯ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**Group Chief Wholesales Business**: ประธานคณะผู้บริหารกลุ่มธุรกิจค้าส่ง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**Group Chief Retail Business**: ประธานคณะผู้บริหารกลุ่มธุรกิจค้าปลีก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**CEO – Business Unit**: ผู้บริหารระดับธุรกิจ เช่น Makro, Lotus’s, Makro Intl., Food Service APME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**Group Chief (Function) Officer**: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Finance &amp; Corporate Shared Services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Commercial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- E-Commerce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Supply Chain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Mall &amp; Property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- Technology &amp; Data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- People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**Chief (Function)**: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Commercial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 Digital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- Finance &amp; Shared Services (Wholesale / Retail)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Sustainability &amp; Communication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 Planning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- Transformation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**Chief (Division)**: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- CFO – Wholesale / Retail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B2B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- Operations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รายการที่อนุมัติ (เหมือนกันระหว่างค้าส่ง/ค้าปลีก)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การลงนามสัญญา ≤ 1 ปี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ให้เป็นไปตาม Power of Attorney (POA)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การนำเข้า (เฉพาะแผนก Commercial)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มูลค่า (USD)        | ผู้มีอำนาจอนุมัติ   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|---------------------|------------------------|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&gt; 50,000 USD        | Director              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50,000 USD        | Associate Director    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33,000 USD        | Senior Manager         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การอนุมัติจ่ายค่าใช้จ่าย – **นำเข้า (ไม่รวมภาษี)**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วงเงิน (บาท)          | ผู้อนุมัติ                                      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|------------------------|--------------------------------------------------|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&gt; 20,000,000           | Chief (Division)                               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&gt; 10,000,000           | Director Finance - Accounting                  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10,000,000           | Associate Director Finance - Accounting        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5,000,000            | Senior Manager Finance - Accounting            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2,000,000            | Accounting Manager                              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1,000,000            | Senior Accountant                               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500,000              | Accountant                                      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ค่าใช้จ่ายทั่วไป (OPEX)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วงเงิน (บาท)          | ผู้อนุมัติ         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|------------------------|---------------------|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20,000,000           | Senior Director     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3,000,000            | Director            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2,000,000            | Associate Director  |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1,000,000            | Area Manager        |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500,000              | Senior Manager      |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ค่าเดินทาง (ใน/ต่างประเทศ)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ปกติ: ให้เป็นไปตามนโยบาย HR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เกินนโยบาย: ต้องได้รับอนุมัติจาก Chief (Function) ร่วมกับ Associate Director, Total Reward และ Group Chief People Officer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ค่ายุติคดี/ค่าปรับ/ค่าสินไหม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มูลค่า           | ผู้อนุมัติ                                                 |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|------------------|--------------------------------------------------------------|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&gt; 200,000 บาท    | Group Chief (Wholesale/Retail) + CFO + CEO Business Unit     |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200,000 บาท    | CEO – Business Unit                                           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3.4 ค่าชดเชยให้บุคคลภายนอก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ความเสียหายจากสินค้า: Director + CFO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ทุจริตพนักงาน: CEO BU + Chief (Function) + Director HR + Senior Director Legal + CFO + Shared Services Officer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อื่น ๆ: Director + CFO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3.5 ค่าปรับหน่วยงานราชการ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Director + CFO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รายการอนุมัติของธุรกิจค้าส่ง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การลงทุนในโครงการ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ประเภทโครงการ                                                                                             | วงเงิน                         | ผู้อนุมัติ                                               | Co-signature                          |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|--------------------------------------------------------------------------------------------------------------|--------------------------------|-----------------------------------------------------------|----------------------------------------|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โครงการใหม่, ปรับปรุง, กลยุทธ์, Facility Management (เช่น Energy Saving)                                 | ≤ 500,000 บาท                 | ตามวงเงินในตารางที่ 1                                    | -                                      |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                                                                                                             | &gt; 500,000 – 20,000,000 บาท     | ตามวงเงินในตารางที่ 1                                    | Finance – FP&amp;A ร่วมลงนาม              |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                                                                                                             | &gt; 20,000,000 – 200,000,000 บาท | คณะการจัดการกลุ่มธุรกิจค้าส่ง                            | -                                      |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                                                                                                             | &gt; 200,000,000 บาท              | อ้างอิง Delegation of Authority (DOA)                     | -                                      |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1.5 โครงการด้านเทคโนโลยี/ศูนย์กระจายสินค้า (เช่น XaaS, SaaS, รายเดือน/ปี)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วงเงิน                           | ผู้อนุมัติ                            | Co-signature                                  |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|----------------------------------|----------------------------------------|-----------------------------------------------|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500,000 บาท                    | ตามวงเงินในตารางที่ 1                | -                                             |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&gt; 500,000 – 20,000,000 บาท       | ตามวงเงินในตารางที่ 1                | Finance – FP&amp;A                                |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&gt; 20,000,000 – 200,000,000 บาท   | คณะจัดการพิจารณาเงินลงทุนเทคโนโลยี | -                                             |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&gt; 200,000,000 บาท                | ตาม DOA                                | -                                             |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การดำเนินงานปกติ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ขอซื้อสินทรัพย์ถาวร  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ใช้ตามวงเงินในตารางที่ 1  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ต้องมีผู้อนุมัติจากแผนก Finance ร่วมลงนามตามวงเงิน  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หากเกี่ยวกับ IT ต้องมีผู้อนุมัติแผนก Technology ร่วมด้วย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วงเงิน (บาท)        | แผนก Finance                                  |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|----------------------|------------------------------------------------|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200,000,000        | Group Chief Finance Officer                    |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30,000,000         | Chief Finance Accounting &amp; Share Services      |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25,000,000         | Chief Finance Officer                          |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20,000,000         | Senior Director                                |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3,000,000          | Director                                       |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2,000,000          | Associate Director                             |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500,000            | Senior Manager                                 |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IT Related: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&gt; 2M: Director + Group Chief Tech/Data Officer หรือ E-Commerce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≤ 2M: Associate Director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โอนย้ายสินทรัพย์ถาวร  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สโตร์: Area Manager + Senior Manager  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สำนักงานใหญ่/ศูนย์กระจายสินค้า: Associate Director  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IT: ต้องมี Senior Manager Technology ร่วมลงนาม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จำหน่ายสินทรัพย์ถาวร (ตาม NBV)  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ใช้ตามวงเงินในตารางที่ 1  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ลงนามร่วมกับ Finance  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หากเกี่ยวข้องกับ IT ต้องลงนามร่วมกับผู้บริหารฝ่าย Technology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2.4 การโอนย้ายงบประมาณ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2.4.1 ประเภทเดียวกัน  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วงเงิน (บาท)        | ผู้อนุมัติ                          |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|----------------------|------------------------------------|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200,000,000        | Group Chief Finance Officer        |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150,000,000        | Chief Finance Accounting &amp; Share Services |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100,000,000        | Chief Finance Officer              |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75,000,000         | Senior Director Finance            |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50,000,000         | Director Accounting                |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10,000,000         | Associate Director Finance          |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5,000,000          | Senior Manager Finance              |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ยกเว้น: รายการที่ต้องได้รับอนุมัติจากบอร์ดหรือประชุมผู้ถือหุ้น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2.4.2 โอนย้ายงบประมาณกรณีอื่น  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Director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2.5 อนุมัติใบขอซื้อ (PR) – OPEX  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ใช้ตามวงเงินในตารางที่ 1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การอนุมัติสั่งซื้อ Non-trade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ค่าซ่อมแซม / บำรุงรักษา  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ใช้ตามวงเงินในตารางที่ 1  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ร่วมลงนามกับ Non Trade Procurement หรือ Facilities Management  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&gt; 3M: Associate Director  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≤ 3M: Senior Manager  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การเบิกใช้ภายใน  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วัตถุดิบ/บรรจุภัณฑ์: Senior Manager  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เครื่องเขียน:  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&gt; 20,000 บาท: Associate Director  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≤ 20,000 บาท: Senior Manager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รายการอนุมัติของธุรกิจค้าปลีก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1. การลงทุนในโครงการ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รายการ | วงเงินอนุมัติ | ผู้อนุมัติ | Co-signature |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|--------|----------------|-------------|---------------|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โครงการสร้างสโตร์ใหม่ / ปรับปรุงสโตร์ / Mall ที่เปิดอยู่แล้ว | ≤ 200,000,000 บาท | Retail Investment Committee Thailand | - |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| &gt; 200,000,000 บาท | ตาม DOA | - |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โครงการทำธุรกิจใหม่ / กลยุทธ์ / Facility Management | ≤ 5,000,000 บาท | ตามตารางที่ 1 | ร่วมลงนามกับ Finance FP&amp;A / Capital Investment |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| &gt; 5 – 200 ล้านบาท | Retail Investment Committee Thailand | - |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| &gt; 200 ล้านบาท | ตาม DOA | - |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โครงการเทคโนโลยี / ศูนย์กระจายสินค้า / XaaS / Subscription | ≤ 5,000,000 บาท | ตามตารางที่ 1 | ร่วมลงนามกับ Finance FP&amp;A / Capital Investment |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| &gt; 5 – 20 ล้านบาท | Retail Investment Committee Thailand | - |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| &gt; 20 – 200 ล้านบาท | คณะทำงานด้านเทคโนโลยีและศูนย์กระจายสินค้า | - |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| &gt; 200 ล้านบาท | ตาม DOA | - |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2. การดำเนินงานปกติ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การขอซื้อสินทรัพย์ถาวร: ตามตารางที่ 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การโอนย้ายสินทรัพย์: ระบุผู้เกี่ยวข้องและ S&amp;LP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การจำหน่ายและตัดจำหน่าย: จำแนกตามว่ามี/ไม่มี Business Case และขาดทุนเท่าใด โดยมีลำดับอนุมัติตามวงเงิน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รายจ่าย OPEX: ใช้วงเงินจากตารางที่ 1 และ 2/3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3. ค่าใช้จ่ายพิเศษ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3.1 ค่าเลี้ยงรับรอง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วงเงิน | ผู้อนุมัติ | ร่วมลงนาม |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|--------|-------------|--------------|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3,000 บาท | Senior Director | - |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&gt; 3,000 บาท | Senior Director | CEO (Mall) หรือ CFO (อื่น ๆ) |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#### 3.2 CSR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วงเงิน | ผู้อนุมัติ | ร่วมลงนาม |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|--------|-------------|-------------------------|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3,000 บาท (Store) | Senior Manager / Store Manager | ร่วม Senior Manager Community Engagement |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10,000 บาท | Associate Director | - |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20,000 บาท | Senior Director | - |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30,000 บาท | Chief (Division) | - |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40,000 บาท | Chief (Function) | - |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100,000 บาท | Group Chief (Function) Officer | - |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&gt; 100,000 บาท | Group Chief Retail Business Officer | ร่วม CFO + Sustainability Officer |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4. การอนุมัติจ่ายค่าใช้จ่าย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4.1 เงินทดรอง - HO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วงเงิน | ผู้อนุมัติ |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|--------|-------------|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20,000 บาท | Senior Manager Accounting |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&gt; 20,000 บาท | Director Accounting |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&gt; 100,000 บาท | Senior Director |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4.2 เงินทดรอง - Retail Operation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ทั่วไป: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Store Manager (≤ 10,000)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Area GM (≤ 30,000)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Director Region (≤ 100,000)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Senior Director (≤ 1,000,000)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ค่าสาธารณูปโภค: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Store Manager (≤ 20,000 – 100,000)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Area GM / Director Region / Senior Director (≤ 5,000,000)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4.3 เงินทดรอง - DC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วงเงิน | ผู้อนุมัติ |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|--------|-------------|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≤ 20,000 บาท | Senior Manager Accounting / GM |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&gt; 20,000 บาท | Director Accounting |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&gt; 100,000 บาท | Senior Director |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