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ลิงค์เอกสารแนบ Non-trade supplier :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https://thlotuss-my.sharepoint.com/:f:/r/personal/napphasorn_krongkaewarreya_lotuss_com/Documents/Chatbot/Policy/FA-G-07_Non-Trade%20Supplier?csf=1&amp;web=1&amp;e=4qPdq5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นโยบายด้านบัญชีและการเงิน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</w:t>
        <w:br w:type="textWrapping"/>
        <w:t xml:space="preserve">การ register และแก้ไขข้อมูลของคู่ค้า Non Trade (สินค้าและบริการที่ไม่ได้มีไว้เพื่อจำหน่ายต่อ) และ Non-mall Customer  </w:t>
        <w:br w:type="textWrapping"/>
        <w:t xml:space="preserve">ระเบียบปฏิบัติ : FA-G-07 </w:t>
        <w:br w:type="textWrapping"/>
        <w:t xml:space="preserve">วันที่มีผลบังคับใช้: 15 มกราคม 2568 </w:t>
        <w:br w:type="textWrapping"/>
        <w:t xml:space="preserve">อนุมัติโดย: รณกฤต พจมานพรชัย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#วัตถุประสงค์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และการจ่ายชำระเงิน สำหรับคู่ค้า Non-Trade Suppliers และ Non-Mall Customers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มีผลบังคับใช้กับ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คู่ค้า (Supplier Non-Trade) ทั้งหมด (สินค้าและบริการเพื่อใช้ในกิจการ ไม่ได้มีไว้เพื่อขาย) และลูกค้า Non-Mall ของบริษัทซีพี แอ็กซ์ตร้า จำกัด (มหาชน) – ธุรกิจค้าปลีก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ff0000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คู่ค้าภายใต้การดูแลของแผนกจัดซื้อ</w:t>
      </w:r>
      <w:r w:rsidDel="00000000" w:rsidR="00000000" w:rsidRPr="00000000">
        <w:rPr>
          <w:b w:val="1"/>
          <w:sz w:val="18"/>
          <w:szCs w:val="18"/>
          <w:rtl w:val="0"/>
        </w:rPr>
        <w:t xml:space="preserve"> (Procurement Supplier)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หมายถึง 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ระเบียบปฏิบัติ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สำหรับ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คู่ค้า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ที่อยู่ภายใต้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การดูแลของแผนกจั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ดซื้อ (Procedure for Procurement Suppliers)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9"/>
          <w:szCs w:val="19"/>
          <w:rtl w:val="0"/>
        </w:rPr>
        <w:t xml:space="preserve">การขอเพิ่มคู่ค้า Non-trade supplier รายใหม่ แผนกที่เกี่ยวข้องหรือเจ้าของงานจะต้องติดต่อแผนกจัดซื้อก่อนการเริ่มทำธุรกรรมใดๆกับคู่ค้า การไม่ปฏิบัติตามระเบียบปฏิบัติที่กำหนดนี้ แผนกจัดซื้อมีอำนาจในการปฏิเสธรับรายการซื้อ และมีสิทธิ์สอบถามเกี่ยวกับความเหมาะสมของคู่ค้าที่เลือกได้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การเพิ่มคู่ค้ารายใหม่ แผนกจัดซื้อจะต้องปฏิบัติตามขั้นตอนการจัดซื้อ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ก่อนการทำธุรกรรมกับคู่ค้า จะต้องมีการประเมินความเสี่ยงทางการเงิน โดยบริษัทจะสามารถทำธุรกรรมกับคู่ค้าที่มีระดับความเสี่ยงที่ยอมรับได้ ตามที่กำหนดใน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ฉ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เท่านั้น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้าม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 เว้นแต่ได้รับการอนุมัติจาก Director - Accounting ก่อนการเซ็นสัญญา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หากคู่ค้าดังกล่าว ปัจจุบันเป็นคู่ค้าประเภท Trade อยู่แล้ว และยังคงมีธุรกรรมกับบริษัท ไม่ต้องทำการประเมินความเสี่ยงทางการเงินเพิ่มอีก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การขอเพิ่มคู่ค้าใหม่และการขอ supplier site เพิ่มเติม จะต้องได้รับอนุมัติจาก Associate Director - Procurement ตาม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sz w:val="19"/>
          <w:szCs w:val="19"/>
          <w:rtl w:val="0"/>
        </w:rPr>
        <w:t xml:space="preserve"> (Non-trade supplier setup and amendment form)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เกณฑ์การชำระเงิน (Payment Term) จะต้องเป็นไปตามรอบการจ่ายเงินมาตรฐาน (standard Payment Terms) ระยะเวลาเครดิต (Credit Term) เริ่มนับตั้งแต่วันที่บริษัทได้รับใบแจ้งหนี้จากคู่ค้า (Billing date)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หากมีการใช้เงื่อนไขการชำระเงิน ที่ไม่เป็นไปตามรอบการจ่ายเงินมาตรฐาน (Standard Payment Terms) จะต้องได้รับตรวจสอบโดย Associate Director – Accounting Payable and Accounting Receivable และอนุมัติโดย Chief Financial Officer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ในกรณีขอจ่ายก่อนกำหนดจ่ายปกติ (Non-standard payment period) จะต้องได้รับอนุมัติจาก Director – Accounting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หมายเหตุ : โดยวิธีการชำระเงินสามารถศึกษาเพิ่มเติมได้จาก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เอกสารแนบ 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คู่ค้าทุกรายจะต้องมีเลขประจำตัวผู้เสียภาษีไม่ซ้ำกัน คู่ค้ารายเดียวกันอาจมีหลาย supplier site ขึ้นกับประเภทของรายการ รหัสคู่ค้า supplier code จะถูกตั้งค่าในระบบ Oracle ERP ตามแนวทางที่กำหนดใน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จ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หลังจากได้รับเอกสารที่สมบูรณ์สำหรับการขอเปิดคู่ค้ารายใหม่ การขอรหัสคู่ค้าเพิ่ม และการขอแก้ไขข้อมูลคู่ค้าเดิม แผนกบัญชีจะเพิ่มหรือแก้ไขข้อมูลในระบบภายในระยะเวลาที่กำหนด ตามที่ระบุไว้ใน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ค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ซึ่งจะได้รับการตรวจสอบและรับรองความถูกต้องโดยผู้จัดการฝ่ายบัญชี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 คู่ค้า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ที่ใช้ครั้งเดียว (One-time Vendor)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คู่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ค้าที่บริษัทไม่ได้มีความตั้งใจจะ</w:t>
      </w:r>
      <w:r w:rsidDel="00000000" w:rsidR="00000000" w:rsidRPr="00000000">
        <w:rPr>
          <w:sz w:val="18"/>
          <w:szCs w:val="18"/>
          <w:rtl w:val="0"/>
        </w:rPr>
        <w:t xml:space="preserve"> register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เป็นคู่ค้า</w:t>
      </w:r>
      <w:r w:rsidDel="00000000" w:rsidR="00000000" w:rsidRPr="00000000">
        <w:rPr>
          <w:sz w:val="18"/>
          <w:szCs w:val="18"/>
          <w:rtl w:val="0"/>
        </w:rPr>
        <w:t xml:space="preserve"> Procurement Supplier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ในระบบ เนื่องจากต้องการซื้อสินค้าหรือใช้บริการเพียงครั้งเดียว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เช่น กรณีเป็นโครงการเฉพาะกิจ</w:t>
      </w:r>
      <w:r w:rsidDel="00000000" w:rsidR="00000000" w:rsidRPr="00000000">
        <w:rPr>
          <w:sz w:val="18"/>
          <w:szCs w:val="18"/>
          <w:rtl w:val="0"/>
        </w:rPr>
        <w:t xml:space="preserve"> (One-off Project)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เพื่อทดลองใช้สินค้าหรือบริการ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และมูลค่ารวมของการสั่งซื้อจะต้องไม่เกิน </w:t>
      </w:r>
      <w:r w:rsidDel="00000000" w:rsidR="00000000" w:rsidRPr="00000000">
        <w:rPr>
          <w:sz w:val="18"/>
          <w:szCs w:val="18"/>
          <w:rtl w:val="0"/>
        </w:rPr>
        <w:t xml:space="preserve">500,000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บาท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ขั้นตอนการดำเนินงานสำหรับ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u w:val="single"/>
          <w:rtl w:val="0"/>
        </w:rPr>
        <w:t xml:space="preserve">คู่ค้า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แบบใช้ครั้งเดียว (One-Time Vendors)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One-time Vendor จะสามารถใช้ได้ ต้องตรงตามเงื่อนไข ดังนี้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ไม่มีความตั้งใจจะ </w:t>
      </w:r>
      <w:r w:rsidDel="00000000" w:rsidR="00000000" w:rsidRPr="00000000">
        <w:rPr>
          <w:sz w:val="19"/>
          <w:szCs w:val="19"/>
          <w:rtl w:val="0"/>
        </w:rPr>
        <w:t xml:space="preserve">register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เป็นคู่ค้า</w:t>
      </w:r>
      <w:r w:rsidDel="00000000" w:rsidR="00000000" w:rsidRPr="00000000">
        <w:rPr>
          <w:sz w:val="19"/>
          <w:szCs w:val="19"/>
          <w:rtl w:val="0"/>
        </w:rPr>
        <w:t xml:space="preserve"> Procurement Supplier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ในระบบ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บริษัทต้องการซื้อสินค้าหรือใช้บริการเพียงครั้งเดียว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เช่น กรณีเป็นโครงการเฉพาะกิจ </w:t>
      </w:r>
      <w:r w:rsidDel="00000000" w:rsidR="00000000" w:rsidRPr="00000000">
        <w:rPr>
          <w:sz w:val="19"/>
          <w:szCs w:val="19"/>
          <w:rtl w:val="0"/>
        </w:rPr>
        <w:t xml:space="preserve">(One-off Project)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เพื่อทดลองใช้สินค้าหรือบริการ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  - มูลค่ารวมของการสั่งซื้อจะต้องไม่เกิน </w:t>
      </w:r>
      <w:r w:rsidDel="00000000" w:rsidR="00000000" w:rsidRPr="00000000">
        <w:rPr>
          <w:sz w:val="19"/>
          <w:szCs w:val="19"/>
          <w:rtl w:val="0"/>
        </w:rPr>
        <w:t xml:space="preserve">500,000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บาท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 - ได้รับการอนุมัติจาก Business Function ระดับ Senior Manager ขึ้นไป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แผนกที่เกี่ยวข้องหรือเจ้าของงานต้องประสานงานกับฝ่ายจัดซื้อก่อนดำเนินการใดๆ กับคู่ค้า โดยต้องแสดงเหตุผลและความจำเป็นที่ต้องซื้อสินค้า/บริการจากคู่ค้าที่ไม่ได้ </w:t>
      </w:r>
      <w:r w:rsidDel="00000000" w:rsidR="00000000" w:rsidRPr="00000000">
        <w:rPr>
          <w:sz w:val="19"/>
          <w:szCs w:val="19"/>
          <w:rtl w:val="0"/>
        </w:rPr>
        <w:t xml:space="preserve">register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ไว้กับบริษัท 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การประเมินความเสี่ยงทางการเงินจะได้รับการยกเว้นสำหรับ คู่ค้าที่เป็นบุคคลธรรมดา One-time Vendor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แผนกจัดซื้อมีอำนาจในการปฏิเสธรับรายการซื้อ และสามารถสอบถามเกี่ยวกับความเหมาะสมของคู่ค้าที่เลือกได้ เช่น ราคา คุณภาพ รายละเอียดคุณสมบัติของสินค้าและบริการ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พนักงานจะต้องกรอกแบบฟอร์ม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(Non-trade supplier setup and amendment form) และแนบใบแจ้งหนี้และหลักฐานการอนุมติโดย Senior Manager ขึ้นไปของแผนกที่เกี่ยวข้อง ส่งให้แผนกจัดซื้อ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การใช้ </w:t>
      </w:r>
      <w:r w:rsidDel="00000000" w:rsidR="00000000" w:rsidRPr="00000000">
        <w:rPr>
          <w:sz w:val="19"/>
          <w:szCs w:val="19"/>
          <w:rtl w:val="0"/>
        </w:rPr>
        <w:t xml:space="preserve">One-Time Vendor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จะต้องได้รับอนุมัติจาก </w:t>
      </w:r>
      <w:r w:rsidDel="00000000" w:rsidR="00000000" w:rsidRPr="00000000">
        <w:rPr>
          <w:sz w:val="19"/>
          <w:szCs w:val="19"/>
          <w:rtl w:val="0"/>
        </w:rPr>
        <w:t xml:space="preserve">Associate Director - Procurement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หลักจากได้รับอนุมัติครบถ้วน แผนกบัญชีจะเพิ่มรหัสคู่ค้าในระบบและกำหนดวันสิ้นสุด (</w:t>
      </w:r>
      <w:r w:rsidDel="00000000" w:rsidR="00000000" w:rsidRPr="00000000">
        <w:rPr>
          <w:sz w:val="19"/>
          <w:szCs w:val="19"/>
          <w:rtl w:val="0"/>
        </w:rPr>
        <w:t xml:space="preserve">End date)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หลังจากวันกำหนดชำระ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แผนกบัญชีผู้มีหน้าที่เพิ่มและแก้ไขข้อมูลคู่ค้า ส่งต่อใบแจ้งหนี้ให้แผนกบัญชีเจ้าหนี้ เพื่อบันทึกบัญชีและทำจ่ายต่อไป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แผนกบัญชีบันทึกข้อมูล </w:t>
      </w:r>
      <w:r w:rsidDel="00000000" w:rsidR="00000000" w:rsidRPr="00000000">
        <w:rPr>
          <w:sz w:val="19"/>
          <w:szCs w:val="19"/>
          <w:rtl w:val="0"/>
        </w:rPr>
        <w:t xml:space="preserve">one-time vendor tracker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ในทุกไตรมาส ผู้จัดการบัญชีเจ้าหนี้ จะต้องตรวจสอบรายการใบแจ้งหนี้ และใบสั่งซื้อทั้งหมด ภายใต้รหัสคู่ค้า</w:t>
      </w:r>
      <w:r w:rsidDel="00000000" w:rsidR="00000000" w:rsidRPr="00000000">
        <w:rPr>
          <w:sz w:val="19"/>
          <w:szCs w:val="19"/>
          <w:rtl w:val="0"/>
        </w:rPr>
        <w:t xml:space="preserve"> One-time Vendor site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เพื่อตรวจสอบ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รอบรายการผิดปกติ และรายงานให้</w:t>
      </w:r>
      <w:r w:rsidDel="00000000" w:rsidR="00000000" w:rsidRPr="00000000">
        <w:rPr>
          <w:sz w:val="19"/>
          <w:szCs w:val="19"/>
          <w:rtl w:val="0"/>
        </w:rPr>
        <w:t xml:space="preserve"> Associate Director - Procurement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และ</w:t>
      </w:r>
      <w:r w:rsidDel="00000000" w:rsidR="00000000" w:rsidRPr="00000000">
        <w:rPr>
          <w:sz w:val="19"/>
          <w:szCs w:val="19"/>
          <w:rtl w:val="0"/>
        </w:rPr>
        <w:t xml:space="preserve"> Director – Accounting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ทราบ</w:t>
      </w: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jc w:val="both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คู่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ค้า </w:t>
      </w:r>
      <w:r w:rsidDel="00000000" w:rsidR="00000000" w:rsidRPr="00000000">
        <w:rPr>
          <w:b w:val="1"/>
          <w:sz w:val="19"/>
          <w:szCs w:val="19"/>
          <w:rtl w:val="0"/>
        </w:rPr>
        <w:t xml:space="preserve">Payee/PO Manual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หมายถึง คู่ค้าที่ไม่ได้ผ่านการเจรจาต่อรอง / 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Payee สามารถอ้างอิงได้จาก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ก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คู่ค้า Payee คือ คู่ค้าที่ไม่ได้ผ่านการเจรจาต่อรอง / ไม่ได้อยู่ภายใต้การดูแลของแผนกจัดซื้อ รายชื่อคู่ค้าที่ถูกจัดประเภทเป็น Payee สามารถอ้างอิงได้จาก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ก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การเพิ่มคู่ค้า Payee เป็นคู่ค้าใหม่ในระบบ พนักงานจะต้องกรอกแบบฟอร์ม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(Non-trade supplier setup and amendment form) ส่งให้แผนกบัญชีตามตารางการทำงาน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ค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ข้อมูลและเอกสารประกอบทั้งหมด จะต้องครบถ้วนตามมี่ระบุใน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Payee หรือกรณีเบิกคืนค่าใช้จ่ายให้พนักงาน (Employee Reimbursement หรือ EMP) จะต้องได้รับการอนุมัติทั้งจากฝ่ายธุรกิจ/ผู้ร้องขอ ระดับ Senior Manager ขึ้นไป และผู้จัดการฝ่ายบัญชีเจ้าหนี้การค้า (Accounting Manager – AP)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# การขอจัดตั้งคู่ค้ารายใหม่ - เจ้าหน้าที่บัญชี (Accounting Staff) จะเป็นผู้รับผิดชอบหลักในการดำเนินการเอกสารทั้งหมด และผู้จัดการฝ่ายบัญชีจะทำหน้าที่อนุมัติขั้นสุดท้าย โดยจะต้องได้รับการอนุมัติจากผู้มีอำนาจตามลักษณะของคู่ค้าแต่ละประเภท โดยแบ่งออกเป็นสามกลุ่มหลัก ดังนี้: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## Payee หรือกรณีเบิกคืนค่าใช้จ่ายให้พนักงาน (Employee Reimbursement หรือ EMP) จะต้องได้รับการอนุมัติทั้งจากฝ่ายธุรกิจ/ผู้ร้องขอ ระดับ Senior Manager ขึ้นไป และผู้จัดการฝ่ายบัญชีเจ้าหนี้การค้า (Accounting Manager – AP)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## เจ้าของพื้นที่เช่า (Landlord) จะต้องได้รับการอนุมัติจากผู้จัดการอาวุโสฝ่ายจัดหาทรัพย์สิน (Senior Manager – Property Acquisition) และผู้จัดการฝ่ายบัญชีเจ้าหนี้การค้า (AP)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## ผู้เช่าพื้นที่ในศูนย์การค้า (Mall Tenant) จะต้องได้รับอนุมัติจากฝ่ายธุรกิจ/ผู้ร้องขอ ระดับ Senior Manager ขึ้นไป  และผู้จัดการฝ่ายบัญชีลูกหนี้การค้า (Accounting Manager – AR)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# ลูกค้าที่ไม่ใช่ร้านเช่าศูนย์การค้า (Customer – non Mall)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ลิงค์เอกสารแนบ Non-trade supplier :</w:t>
      </w:r>
      <w:hyperlink r:id="rId8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https://thlotuss-my.sharepoint.com/:f:/r/personal/napphasorn_krongkaewarreya_lotuss_com/Documents/Chatbot/Policy/FA-G-07_Non-Trade%20Supplier?csf=1&amp;web=1&amp;e=4qPdq5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การขอเพิ่มลูกค้า non-mall ในระบบ พนักงานจะต้องกรอกแบบฟอร์มตาม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(Mall Tenant and Customer Setup and Amendment Form) ส่งให้กับแผนกบัญชีตามตารางการทำงาน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ค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ข้อมูลและเอกสารประกอบทั้งหมด จะต้องครบถ้วนตามมี่ระบุใน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ข</w:t>
      </w: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การขอเพิ่มลูกค้าใหม่จะต้องได้รับอนุมัติจาก Business Function (ระดับ Senior Manager ขึ้นไป) และ ผู้จัดการแผนกบัญชีลูกหนี้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ก่อนการทำธุรกรรมกับลูกค้า จะต้องมีการประเมินความเสี่ยงทางการเงิน โดยบริษัทจะสามารถทำธุรกรรมกับลูกค้าที่มีระดับความเสี่ยงที่ยอมรับได้ ตามที่กำหนดใน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u w:val="single"/>
          <w:rtl w:val="0"/>
        </w:rPr>
        <w:t xml:space="preserve">เอกสารแนบ ฉ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ห้ามดำเนินการค้ากับลูกค้าที่มีความเสี่ยงนอกเหนือไปจากที่ระบุไว้หรือกับลูกค้าที่ไม่สามารถระบุความเสี่ยงได้ เว้นแต่ได้รับการอนุมัติโดย Chief Financial Officer ก่อนการเซ็นสัญญา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# ข้อยกเว้นในการประเมินความเสี่ยงทางการเงิน ได้แก่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ลูกค้าที่เป็นบุคคลทั่วไป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รายได้จากสินค้าหรือบริการที่ไม่มีเงื่อนไขเครดิต (ชำระเงินเมื่อรับสินค้า)*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ลูกค้าที่ซื้อสินค้าแบบครั้งเดียว**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บริษัทในเครือ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ชำระเงินเมื่อรับสินค้า รวมถึงรายได้จากการขายบัตรของขวัญและอี-คูปอง ซึ่งบริษัทต้องได้รับเงินก่อนส่งมอบสินค้า (การขายบัตรของขวัญและอี-คูปองแบบเครดิตได้รับอนุญาตเฉพาะกับบริษัทในเครือ โดยมีเงื่อนไขเครดิต 30 วัน และยอดซื้อขั้นต่ำ 10,000 บาทต่อรายการ)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ขั้นตอนการออกใบแจ้งหนี้ กรุณาอ้างอิงจากนโยบายการใช้รหัสลูกหนี้กลาง (Central Debtor Code for Invoice Issuance)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เงื่อนไขการชำระเงินต้องเป็นไปตามมาตรฐานที่ตกลงไว้ การให้เครดิตที่ไม่เป็นไปตามมาตรฐานต้องได้รับการอนุมัติจาก Chief Financial Officer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การเปลี่ยนแปลงเงื่อนไขการชำระเงินจากเงินสดเป็นเครดิต จะต้องมีการประเมินความเสี่ยงทางการเงินและตรวจสอบประวัติการชำระเงินก่อน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หากมี กระบวนการบัญชีและการเงินเฉพาะ สำหรับลูกค้าแต่ละประเภท การขอเพิ่มลูกค้าต้องอ้างอิงตามกระบวนการนั้น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# การดูแลและปรับปรุงข้อมูลผู้ขาย/คู่ค้า (Data Maintenance)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การร้องขอใด ๆ ที่เกี่ยวข้องกับการแก้ไขข้อมูลของคู่ค้าเดิมจะต้องได้รับการอนุมัติจากผู้มีอำนาจที่กำหนดไว้ โดยพิจารณาตามประเภทของผู้ขาย ดังนี้: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สำหรับคู่ค้าที่อยู่ภายใต้การจัดการของฝ่ายจัดซื้อ (Procurement Supplier) ผู้อนุมัติคือ ผู้จัดการฝ่ายจัดซื้อ (Procurement Manager)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คู่ค้าที่ได้รับยกเว้น ไม่ต้องเปิด PR/PO ในระบบ (Payee) หรือการเบิกคืนพนักงาน (Employee Reimbursement หรือ EMP) จะต้องได้รับการอนุมัติทั้งจากฝ่ายธุรกิจ/ผู้ร้องขอ ระดับ Senior Manager ขึ้นไป และผู้จัดการฝ่ายบัญชีเจ้าหนี้การค้า (Accounting Manager – AP)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สำหรับผู้เช่าพื้นที่ในศูนย์การค้าหรือลูกค้าที่ไม่อยู่ในศูนย์การค้า (Mall Tenant / Customer – Non-Mall) จะต้องได้รับอนุมัติจากฝ่ายธุรกิจ/ผู้ร้องขอ ระดับ Senior Manager ขึ้นไป และผู้จัดการฝ่ายบัญชีลูกหนี้การค้า (Accounting Manager – AR)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ผู้จัดการฝ่ายบัญชี (Accounting Manager – AP) จะเป็นผู้จัดทำรายงานสำหรับการเปลี่ยนแปลงใด ๆ ที่เกิดขึ้นในข้อมูลหลักของคู่ค้า และตรวจสอบรายการ โดยอ้างอิงจากเอกสารที่เกี่ยวข้อง รายงานนี้จะถูกรายงานต่อรองผู้อำนวยการฝ่ายบัญชีเจ้าหนี้และลูกหนี้การค้า (Associate Director – AP&amp;AR)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ในกรณีที่พบว่า รหัสคู่ค้าหลัก และไซต์ที่เกี่ยวข้องไม่มีธุรกรรมใด ๆ เกิดขึ้นในช่วง 18 เดือนที่ผ่านมา ไซต์เหล่านั้นจะถูกปิดใช้งาน (Inactive vendor) โดยอัตโนมัติ กระบวนการนี้จะดำเนินการโดยฝ่ายบัญชีปีละครั้ง ก่อนการปิดไซต์ใด ๆ จะต้องดำเนินการปิดรายการที่ยังเปิดอยู่ทั้งหมดให้เรียบร้อยก่อน เช่น ใบแจ้งหนี้หรือใบสั่งซื้อที่ยังไม่ได้ชำระ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กรณีคู่ค้าที่โดนปิดการใช้งาน (Inactive vendor) สามารถกลับมาใช้งานได้อีก หากไม่มีไซต์อื่นของคู่ค้ารายนั้นเปิดใช้งานอยู่ ผู้ร้องขอจะต้องกรอกแบบฟอร์มเดิม พร้อมแนบเอกสารประกอบที่จำเป็นทั้งหมด และผ่านกระบวนการอนุมัติแบบเดียวกับการตั้งคู่ค้าใหม่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หากเป็นการเพิ่มไซต์ใหม่ให้กับคู่ค้าที่ยังคงมีไซต์อื่นที่ใช้งานอยู่ในปัจจุบัน ข้อมูลการตั้งค่าไซต์ใหม่ของคู่ค้าแบบไม่ใช่คู่ค้าทางการค้า (Non-trade Supplier) จะต้องส่งเอกสารตามแบบฟอร์มที่ระบุไว้ใน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ข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พร้อมแนบเอกสารประกอบทั้งหมด และต้องแนบเอกสารอนุมัติที่ครบถ้วนตามที่กำหนดไว้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ลิงค์เอกสารแนบ Non-trade supplier :</w:t>
      </w:r>
      <w:hyperlink r:id="rId10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https://thlotuss-my.sharepoint.com/:f:/r/personal/napphasorn_krongkaewarreya_lotuss_com/Documents/Chatbot/Policy/FA-G-07_Non-Trade%20Supplier?csf=1&amp;web=1&amp;e=4qPdq5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ก</w:t>
      </w:r>
      <w:r w:rsidDel="00000000" w:rsidR="00000000" w:rsidRPr="00000000">
        <w:rPr>
          <w:sz w:val="18"/>
          <w:szCs w:val="18"/>
          <w:rtl w:val="0"/>
        </w:rPr>
        <w:t xml:space="preserve"> : Payee List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ข</w:t>
      </w:r>
      <w:r w:rsidDel="00000000" w:rsidR="00000000" w:rsidRPr="00000000">
        <w:rPr>
          <w:sz w:val="18"/>
          <w:szCs w:val="18"/>
          <w:rtl w:val="0"/>
        </w:rPr>
        <w:t xml:space="preserve"> : Non-Trade Supplier Setup and Amendment Form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sz w:val="18"/>
          <w:szCs w:val="18"/>
          <w:rtl w:val="0"/>
        </w:rPr>
        <w:t xml:space="preserve"> : Mall and non-mall set up and amendment Form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ค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: กำหนดเวลาการยื่นเอกสาร (Submission Schedule)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รับคำร้อง (Request Form) พร้อมเอกสารแนบ เฉพาะวันอังคารและวันพุธ เวลา 9.00 น. – 12.00 น. </w:t>
        <w:br w:type="textWrapping"/>
        <w:t xml:space="preserve"> หมายเหตุ : ไม่รับเอกสารในสัปดาห์สุดท้ายของเดือน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เอกสารที่ส่งตามกำหนดจะได้รับการดำเนินการภายใน 3 วันทำการ โดยคำร้องที่ยื่นวันอังคารหรือวันพุธ จะแล้วเสร็จในวันจันทร์ถัดไป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ง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วิธีการชำระเงิน (Payment Method)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กรุงเทพฯ – เช็ค : ธนาคาร HSBC จะจัดเตรียมเช็คไว้ที่ศูนย์ Cheque Express Center สาขาพระราม 3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ต่างจังหวัด – เช็ค : ผู้ขายสามารถรับเช็คที่สาขาตามข้อมูลในแบบฟอร์ม “Non-trade supplier set up and amendment form”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การโอนผ่านธนาคาร (ทุกกรณี) : บัญชีผู้รับเงินต้องเป็นบัญชีธนาคารไทยพาณิชย์ (SCB)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หมายเหตุ :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คู่ค้าจะต้องส่งใบกำกับภาษีฉบับจริงและใบเสร็จรับเงินทุกครั้งที่วางบิล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สำหรับผู้ขายในต่างประเทศ จะมีตารางการจ่ายเงินที่กำหนดไว้ล่วงหน้า ซึ่งการจ่ายเงินเพียงเดือนละ 1 ครั้งเท่านั้น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จ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รหัสคู่ค้า (Supplier Code) </w:t>
        <w:br w:type="textWrapping"/>
        <w:t xml:space="preserve"> ระบบ Oracle ERP จะกำหนดรหัสคู่ค้าตามประเภทของธุรกรรมที่เกี่ยวข้อง โดยรหัสมีรูปแบบต่าง ๆ ดังนี้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EXPxxxxx - Procurement Supplier - OPEX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ASTxxxxx  - Procurement Supplier - CAPEX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xxxxxEXP  - Verisae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WFxxxxx   - Payee, Mall – Tenant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EMxxxxx   - Employee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OTVxxxxx  - One-time Vendor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OVSxxxxx  - Overseas Vendor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xxxxx_SDS - Vendor for SMART Distribution Service (SDS) entity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ฉ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การประเมินความเสี่ยง (Risk Assessment) </w:t>
        <w:br w:type="textWrapping"/>
        <w:t xml:space="preserve">บริษัทจะยอมรับเฉพาะคู่ค้าที่ผ่านการประเมินความเสี่ยงทางการเงินโดยบริษัท Dun and Bradstreet (D&amp;B) โดยต้องมีระดับคะแนนความเสี่ยงโดยรวม (Overall Financial Risk Indicators) อยู่ในช่วงระหว่าง 1 ถึง 3 เท่านั้น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เอกสารแนบ ช :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การตั้งค่า Supplier Site ในระบบ Oracle ERP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การตั้งไซต์ของคู่ค้า (Supplier Site) ในระบบ ERP จะแตกต่างกันตามประเภทของคู่ค้า โดยระบุทั้งลักษณะการใช้งานและวิธีดำเนินการ ดังนี้: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Procurement Supplier : ไซต์ Expense (Opex) หรือ Asset (Capex) และเปิด PR/PO ในระบบ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One-time Supplier: ไซต์ One-time Vendor และเปิด PR/PO ในระบบ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Payee: ใช้ workflow ร่วมกับข้อมูลพนักงาน (Workflow/Employee) และเปิด PO Manual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## Mall-Tenant: ใช้ Workflow และดำเนินการด้วยระบบ Manual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Relationship Id="rId10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Relationship Id="rId9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Relationship Id="rId5" Type="http://schemas.openxmlformats.org/officeDocument/2006/relationships/styles" Target="styles.xml"/><Relationship Id="rId6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Relationship Id="rId7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Relationship Id="rId8"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