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ลิงค์เอกสารแนบ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color w:val="0070c0"/>
          <w:sz w:val="24"/>
          <w:szCs w:val="24"/>
        </w:rPr>
      </w:pPr>
      <w:hyperlink r:id="rId6">
        <w:r w:rsidDel="00000000" w:rsidR="00000000" w:rsidRPr="00000000">
          <w:rPr>
            <w:rFonts w:ascii="Cordia New" w:cs="Cordia New" w:eastAsia="Cordia New" w:hAnsi="Cordia New"/>
            <w:color w:val="0070c0"/>
            <w:sz w:val="24"/>
            <w:szCs w:val="24"/>
            <w:u w:val="single"/>
            <w:rtl w:val="0"/>
          </w:rPr>
          <w:t xml:space="preserve">https://thlotuss.sharepoint.com/sites/CPLotusse-policy/EPolicy%20Documents/Forms/AllItems.aspx?id=%2Fsites%2FCPLotusse%2Dpolicy%2FEPolicy%20Documents%2FFinancial%20%26%20Accounting%2FFA%2DG%2D08%20Approval%20Authority&amp;viewid=b0e67e27%2D259f%2D417f%2Dae8b%2D4e0cceffb3f5</w:t>
        </w:r>
      </w:hyperlink>
      <w:r w:rsidDel="00000000" w:rsidR="00000000" w:rsidRPr="00000000">
        <w:rPr>
          <w:rFonts w:ascii="Cordia New" w:cs="Cordia New" w:eastAsia="Cordia New" w:hAnsi="Cordia New"/>
          <w:color w:val="0070c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อำนาจอนุมัติรายจ่ายสำหรับ Purchase Requisition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วัตถุประสงค์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กำหนดขอบเขตอำนาจอนุมัติและความรับผิดชอบของผู้ได้รับอำนาจอนุมัติ และกำหนดแนวทางสำหรับการมอบอำนาจอนุมัติ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บังคับใช้กับ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การซื้อสินค้าที่ไม่ใช่สินค้าที่นำไปขายต่อ (non-trade) การซื้อบริการ การซื้อสินทรัพย์ สำหรับธุรกิจค้าปลีก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ขั้นตอนการปฏิบัติ อำนาจอนุมติรายจ่ายสำหรับ Purchase Requisition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(PR)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อำนาจอนุมัติกำหนดเป็นจำนวนเงินไม่รวมภาษีมูลค่าเพิ่มต่อหนึ่งรายการ รายการที่เป็นเงินตราต่างประเทศให้แปลงเป็นเงินบาทโดยใช้อัตราแลกเปลี่ยนที่ประกาศโดยธนาคารแห่งประเทศไทยสำหรับวันที่ที่เสนออนุมัติรายการ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รายจ่ายจะถือเป็นรายการเดียวกันเมื่อรายจ่ายนั้นมีลักษณะดังต่อไปนี้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เป็นรายจ่ายสำหรับกิจกรรมเดียวกัน และ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จ่ายให้กับบุคคลหรือกิจการเดียวกัน และ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เป็นสินค้าหรือบริการชนิดเดียวกัน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ห้ามมิให้แบ่งรายจ่ายเป็นหลายรายการเพื่อหลีกเลี่ยงอำนาจอนุมัติที่ถูกต้อง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ผู้อนุมัติสามารถอนุมัติรายการที่ริเริ่มหรือก่อให้เกิดขึ้นโดยผู้ใต้บังคับบัญชาตามโครงสร้างองค์กรเท่านั้น และไม่สามารถอนุมัติรายการที่จะเป็นประโยชน์ต่อตนเองหรือก่อให้เกิดผลประโยชน์ทับซ้อน (conflict of interest) ได้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ค่ารักษาพยาบาลและค่าใช้จ่ายเกี่ยวกับผลประโยชน์และสวัสดิการพนักงาน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ต้องได้รับการอนุมัติโดยแผนกทรัพยากรบุคคล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Cordia New" w:cs="Cordia New" w:eastAsia="Cordia New" w:hAnsi="Cordia New"/>
          <w:color w:val="0000cc"/>
          <w:sz w:val="25"/>
          <w:szCs w:val="25"/>
          <w:rtl w:val="0"/>
        </w:rPr>
        <w:t xml:space="preserve">อำนาจอนุมัติ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สำหรับเงินมัดจำทั้งประเภทที่ขอคืนได้และขอคืนไม่ได้ ให้เป็นไปตามรายการหลัก เช่น ให้ใช้</w:t>
      </w:r>
      <w:r w:rsidDel="00000000" w:rsidR="00000000" w:rsidRPr="00000000">
        <w:rPr>
          <w:rFonts w:ascii="Cordia New" w:cs="Cordia New" w:eastAsia="Cordia New" w:hAnsi="Cordia New"/>
          <w:color w:val="0000cc"/>
          <w:sz w:val="25"/>
          <w:szCs w:val="25"/>
          <w:rtl w:val="0"/>
        </w:rPr>
        <w:t xml:space="preserve">อำนาจอนุมัติ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สำหรับค่าเช่ากับเงินมัดจำค่าเช่า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การขอซื้อต้องได้รับอนุมัติตามระเบียบปฏิบัตินี้และระเบียบปฏิบัติอื่นที่เกี่ยวข้องก่อนขออนุมัติเบิกเงินทดรองจ่าย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cc"/>
          <w:sz w:val="24"/>
          <w:szCs w:val="24"/>
          <w:rtl w:val="0"/>
        </w:rPr>
        <w:t xml:space="preserve">อำนาจอนุมัติ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สำหรับ Retail Operation บังคับใช้กับใบขอซื้อ (Purchase Requisition) ที่จัดทำหรือค่าใช้จ่ายที่จ่ายที่ Store และบันทึกเป็นค่าใช้จ่ายภายใต้ Cost Center ของ Store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cc"/>
          <w:sz w:val="25"/>
          <w:szCs w:val="25"/>
          <w:rtl w:val="0"/>
        </w:rPr>
        <w:t xml:space="preserve">อำนาจ</w:t>
      </w:r>
      <w:r w:rsidDel="00000000" w:rsidR="00000000" w:rsidRPr="00000000">
        <w:rPr>
          <w:rFonts w:ascii="Cordia New" w:cs="Cordia New" w:eastAsia="Cordia New" w:hAnsi="Cordia New"/>
          <w:color w:val="0000cc"/>
          <w:sz w:val="24"/>
          <w:szCs w:val="24"/>
          <w:rtl w:val="0"/>
        </w:rPr>
        <w:t xml:space="preserve">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สำหรับ Distribution Operation บังคับใช้กับใบขอซื้อที่จัดทำหรือค่าใช้จ่ายที่จ่ายที่ Distribution Center และบันทึกเป็นค่าใช้จ่ายภายใต้ Cost Center ของ Distribution Center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การจ่ายเงินที่สำนักงานใหญ่ให้กับคู่ค้าประเภท Payee ตามประเภทที่ระบุในเอกสารแนบ ค ไม่ต้องจัดทำ PO manual เพื่อขออนุมัติสำหรับการจ่าย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right="-1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ความรับผิดชอบของผู้มีอำนาจอนุมัติ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ผู้อนุมัติมีหน้าที่ตรวจสอบว่ารายการถูกต้องตามระเบียบปฏิบัติอื่นๆที่เกี่ยวข้องของบริษัท (ตัวอย่างเช่น อำนาจอนุมัติ Delegation of Authority (DoA) ระเบียบปฏิบัติ CAPEX ระเบียบปฏิบัติว่าด้วยของกำนัลและการรับรอง)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cc"/>
          <w:sz w:val="24"/>
          <w:szCs w:val="24"/>
          <w:rtl w:val="0"/>
        </w:rPr>
        <w:t xml:space="preserve">ผู้อนุมัติ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มีหน้าที่ตรวจสอบว่าวัตถุประสงค์ของรายจ่ายสอดคล้องกับบัญชีที่บันทึกรายจ่ายนั้นและสอดคล้องกับข้อจำกัดการใช้เงินนั้น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cc"/>
          <w:sz w:val="24"/>
          <w:szCs w:val="24"/>
          <w:rtl w:val="0"/>
        </w:rPr>
        <w:t xml:space="preserve">ผู้อนุมัติ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มีหน้าที่ตรวจสอบว่ารายจ่ายเป็นไปเพื่อวัตถุประสงค์ทางธุรกิจที่เหมาะสมและจำนวนเงินมีความสมเหตุสมผล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กรณีที่ต้องมีสัญญา ผู้มีอำนาจเซ็นสัญญา มีหน้าที่ตรวจสอบว่าสัญญาได้รับอนุมัติตามอำนาจอนุมัติ Delegation of Authority (DoA) แล้ว และรายละเอียดการซื้อตรงตามที่ตกลงในสัญญาที่เซ็นดังกล่าว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การมอบอำนาจอนุมัติ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cc"/>
          <w:sz w:val="24"/>
          <w:szCs w:val="24"/>
          <w:rtl w:val="0"/>
        </w:rPr>
        <w:t xml:space="preserve">ผู้มีอำนาจอนุมัติ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สามารถมอบหมายอำนาจอนุมัติให้ผู้ใต้บังคับบัญชาโดยตรงของตนที่เป็นพนักงานระดับ Senior Manager ขึ้นไปหรือเทียบเท่าได้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120" w:lineRule="auto"/>
        <w:ind w:right="-12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การมอบหมายอำนาจต้องทำเป็นลายลักษณ์อักษรโดยใช้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u w:val="single"/>
          <w:rtl w:val="0"/>
        </w:rPr>
        <w:t xml:space="preserve">ใบมอบอำนาจอนุมัติ (เอกสารแนบ ข)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และต้องได้รับการอนุมัติโดย Chief Financial Officer  ใบมอบอำนาจอนุมัติจะถูกจัดเก็บที่แผนกบัญชี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120" w:lineRule="auto"/>
        <w:ind w:right="-12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ในกรณีที่พนักงานที่ได้รับมอบอำนาจ (“ผู้รับมอบอำนาจอนุมัติ”) มีการเปลี่ยนแปลงหน้าที่การทำงานหรือมีการเปลี่ยนตำแหน่งงาน การมอบอำนาจจะต้องมีการพิจารณาปรับเปลี่ยนตามความเหมาะสม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กรณีที่ผู้มีอำนาจอนุมัติไม่ได้มาปฏิบัติงานที่สำนักงาน ผู้มีอำนาจอนุมัติสามารถมอบหมายอำนาจอนุมัติให้พนักงานที่ทำหน้าที่แทนในช่วงเวลาดังกล่าวได้ โดยการแต่งตั้งพนักงานท่านนั้นให้เป็น safe-hand และแจ้งผ่านทางอีเมล์ พนักงานที่ได้รับมอบอำนาจนั้น (“ผู้รับมอบอำนาจอนุมัติ”) จะมีอำนาจอนุมัติเช่นเดียวกับผู้มีอำนาจอนุมัติ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Cordia New" w:cs="Cordia New" w:eastAsia="Cordia New" w:hAnsi="Cordia New"/>
          <w:color w:val="0000cc"/>
          <w:sz w:val="25"/>
          <w:szCs w:val="25"/>
          <w:rtl w:val="0"/>
        </w:rPr>
        <w:t xml:space="preserve">ผู้มีอำนาจอนุมัติ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จะต้องรับผิดชอบในการที่ได้มอบอำนาจไปเพื่อให้มั่นใจว่า</w:t>
      </w:r>
      <w:r w:rsidDel="00000000" w:rsidR="00000000" w:rsidRPr="00000000">
        <w:rPr>
          <w:rFonts w:ascii="Cordia New" w:cs="Cordia New" w:eastAsia="Cordia New" w:hAnsi="Cordia New"/>
          <w:color w:val="0000cc"/>
          <w:sz w:val="25"/>
          <w:szCs w:val="25"/>
          <w:rtl w:val="0"/>
        </w:rPr>
        <w:t xml:space="preserve">ผู้รับมอบอำนาจ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ได้ใช้อำนาจอย่างเหมาะสม ในการนี้ </w:t>
      </w:r>
      <w:r w:rsidDel="00000000" w:rsidR="00000000" w:rsidRPr="00000000">
        <w:rPr>
          <w:rFonts w:ascii="Cordia New" w:cs="Cordia New" w:eastAsia="Cordia New" w:hAnsi="Cordia New"/>
          <w:color w:val="0000cc"/>
          <w:sz w:val="25"/>
          <w:szCs w:val="25"/>
          <w:rtl w:val="0"/>
        </w:rPr>
        <w:t xml:space="preserve">ผู้มีอำนาจอนุมัติ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จะ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จัดให้มีการดำเนินการตรวจสอบอย่างสม่ำเสมอ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ตรวจสอบอย่างสม่ำเสมอเกี่ยวกับอำนาจที่ได้มอบให้ไปโดยใช้มาตรการที่เหมาะสม และ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ดำเนินการแก้ไขการมอบอำนาจที่ได้มอบอำนาจไปในกรณีที่มีการเปลี่ยนแปลงเกี่ยวกับหน้าที่</w:t>
      </w:r>
      <w:r w:rsidDel="00000000" w:rsidR="00000000" w:rsidRPr="00000000">
        <w:rPr>
          <w:sz w:val="25"/>
          <w:szCs w:val="25"/>
          <w:rtl w:val="0"/>
        </w:rPr>
        <w:t xml:space="preserve">/ 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ตำแหน่งงาน หรือในกรณีที่จะมีการเปลี่ยนตัวผู้มอบอำนาจที่จะออกจากหน้าที่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ผู้มีอำนาจอนุมัติเป็นผู้รับผิดชอบขั้นสุดท้ายในรายการที่อนุมัติโดยผู้รับมอบอำนาจอนุมัติ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ขั้นตอนปฏิบัติในการเปลี่ยนแปลงผู้อนุมัติ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กรณีที่มีการเปลี่ยนแปลง</w:t>
      </w:r>
      <w:r w:rsidDel="00000000" w:rsidR="00000000" w:rsidRPr="00000000">
        <w:rPr>
          <w:rFonts w:ascii="Cordia New" w:cs="Cordia New" w:eastAsia="Cordia New" w:hAnsi="Cordia New"/>
          <w:color w:val="0000cc"/>
          <w:sz w:val="24"/>
          <w:szCs w:val="24"/>
          <w:rtl w:val="0"/>
        </w:rPr>
        <w:t xml:space="preserve">ผู้อนุมัติ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หรือสายบังคับบัญชา พนักงานต้องแจ้งแผนก IT ให้ปรับปรุงผู้อนุมัติและสายบังคับบัญชาในระบบ โดยการเปลี่ยนแปลงจะต้องได้รับอนุมัติโดยผู้บังคับบัญชา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อำนาจอนุมัติ Purchase Requisition สำหรับการซื้อสินค้าที่ไม่ใช่สินค้าที่นำไปขายต่อ (non-trade) และบริการ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สำนักงานใหญ่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500,000 บาท จะต้องได้รับอนุมัติจากตำแหน่ง Senior Manager ขึ้นไป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500,001 - 2,000,000 บาท จะต้องได้รับอนุมัติจากตำแหน่ง Associate Director ขึ้นไป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2,000,001 - 3,000,000 บาท จะต้องได้รับอนุมัติจากตำแหน่ง Director ขึ้นไป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สาขา Retail Operation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### สาขา Retail Operation ค่าใช้จ่ายทั่วไป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10,000 บาท จะต้องได้รับอนุมัติจากตำแหน่ง Store Manager ขึ้นไป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10,001 - 30,000 บาท จะต้องได้รับอนุมัติจากตำแหน่ง Area General Manager ขึ้นไป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30,001 - 100,000 บาท จะต้องได้รับอนุมัติจากตำแหน่ง Director - Region Operations (RD) ขึ้นไป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100,001 - 3,000,000 บาท จะต้องได้รับอนุมัติจาก Director ขึ้นไป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### สาขา Retail Operation ค่าสาธารญูปโภค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#### สาขา Retail Operation ค่าสาธารญูปโภค format Hypermarket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100,000 บาท จะต้องได้รับอนุมัติจากตำแหน่ง Store Manager ขึ้นไป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100,001 - 200,000 บาท จะต้องได้รับอนุมัติจากตำแหน่ง Area General Manager ขึ้นไป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200,001 - 300,000 บาท จะต้องได้รับอนุมัติจากตำแหน่ง Director - Region Operations (RD) ขึ้นไป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#### สาขา Retail Operation ค่าสาธารญูปโภค format Supermarket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20,000 บาท จะต้องได้รับอนุมัติจากตำแหน่ง Store Manager ขึ้นไป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20,001 - 100,000 บาท จะต้องได้รับอนุมัติจากตำแหน่ง Area General Manager ขึ้นไป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100,001 - 200,000 บาท จะต้องได้รับอนุมัติจากตำแหน่ง Director - Region Operations (RD) ขึ้นไป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ศุนย์กระจายสินค้า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### ศุนย์กระจายสินค้า ค่าใช้จ่ายทั่วไป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50,000 บาท จะต้องได้รับอนุมัติจากตำแหน่ง General Manager (GM) ขึ้นไป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500,001 - 2,000,000 บาท จะต้องได้รับอนุมัติจากตำแหน่ง Associate Director ขึ้นไป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2,000,001 - 3,000,000 บาท จะต้องได้รับอนุมัติจากตำแหน่ง Director ขึ้นไป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### ศุนย์กระจายสินค้า ค่าใช้จ่ายในการขนส่ง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3,000,000 บาท จะต้องได้รับอนุมัติจากตำแหน่ง General Manager (GM) / Associate Director ขึ้นไป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3,000,001 - 5,000,000 บาท จะต้องได้รับอนุมัติจากตำแหน่ง Director ขึ้นไป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5,000,001 - 20,000,000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สำหรับค่าใช้จ่ายในการซ่อมแซมและบำรุงรักษาที่เปิด Purchase Requisition ในระบบ Maintenance System ให้ Division Manager ของแผนก Facility Management &amp; Energy มีอำนาจอนุมัติไม่เกิน 40,000 บาท และ Senior Manager ของแผนก Facility Management &amp; Energy มีอำนาจอนุมัติไม่เกิน 500,000 บาท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สำหรับรายการที่จ่ายผ่านการเบิกค่าใช้จ่ายพนักงาน เช่น ค่าใช้จ่ายในการเดินทาง ค่าใช้จ่ายในการรับรอง อำนาจอนุมัติจะต้องปฏิบัติตามระเบียบปฏิบัติที่เกี่ยวข้องด้วย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รายจ่ายฝ่ายทุนต้องได้รับอนุมัติจากผู้มีอำนาจอนุมัติตามระเบียบปฏิบัติรายจ่ายฝ่ายทุน (CAPEX)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เอกสารแนบ ค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การจ่ายเงินให้กับคู่ค้า payee ที่ไม่ต้องจัดทำ PO Manual 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ค่าไฟฟ้า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ค่าน้ำประปา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ค่าโทรศัพท์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ค่าเช่า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08%20Approval%20Authority&amp;viewid=b0e67e27%2D259f%2D417f%2Dae8b%2D4e0cceffb3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