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ประเภทของโครงการลงทุน: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 โครงการสร้างสโตร์ใหม่ (New Store Project)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2. โครงการปรับปรุงสโตร์หรือ Mall ที่เปิดอยู่แล้ว (Store Remodeling Project, Refresh, Mall Extension)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3. โครงการทำธุรกิจใหม่หรือโครงการเชิงกลยุทธ์ (New Business Model, New Concept)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4. โครงการด้านเทคโนโลยีและศูนย์กระจายสินค้า รวมถึงโครงการ IT และ XaaS (Anything as a service) หรือ รูปแบบสมาชิก โดยชำระค่าบริการเป็นรายเดือน รายปี หรือแบบใช้งานตามช่วงเวลาที่ต้องการ และเป็นการลงทุนต่อเนื่องภายใน 3 ปี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5. โครงการอื่น ๆ เช่น Facility Management, Energy Saving, การจัดซื้อจัดจ้างใหม่, โครงการของสำนักงานใหญ่, Mall Spa, Food Court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 แนวทางการปฏิบัติงานแยกตามลักษณะธุรกิจ แบ่งเป็นสองประภทธุรกิจ ซึ่งคือธุรกิจค้าส่งและธุรกิจค้าปลีก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แต่ละธุรกิจมีแนวทางปฏิบัติงาน 2 หัวข้อ: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 วิธีปฏิบัติงานเมื่อเริ่มทำโครงการ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2. วิธีปฏิบัติงานเมื่อโครงการมีความแตกต่างจากที่ได้รับอนุมัติงบประมาณ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เอกสารเพื่อขออนุมัติลงทุน: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เมื่อได้รับอนุมัติงบประมาณแล้ว ก่อนดำเนินการลงทุนจริง เจ้าของโครงการต้องจัดทำเอกสารเพื่อขออนุมัติลงทุน โดยต้องได้รับอนุมัติก่อนการสั่งซื้อหรือออกใบขอซื้อ (PR/PO)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0000f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ff"/>
          <w:sz w:val="24"/>
          <w:szCs w:val="24"/>
          <w:rtl w:val="0"/>
        </w:rPr>
        <w:t xml:space="preserve">## ธุรกิจค้าส่ง: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ROI (Return on Investment): สำหรับโครงการมูลค่ามากกว่า 500,000 บาท แต่ไม่เกิน 20 ล้านบาท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IP (Investment Proposal): สำหรับโครงการมูลค่าเกิน 20 ล้านบาท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0000f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ff"/>
          <w:sz w:val="24"/>
          <w:szCs w:val="24"/>
          <w:rtl w:val="0"/>
        </w:rPr>
        <w:t xml:space="preserve">## ธุรกิจค้าปลีก: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ROI: ต้องจัดทำสำหรับทุกโครงการ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IP: จัดทำเพิ่มเติมจาก ROI สำหรับโครงการที่ต้องขออนุมัติจาก Retail Investment Committee Thailand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ข้อยกเว้นไม่ต้องจัดทำเอกสารขออนุมัติลงทุน :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ไม่ต้องจัดทำ ROI หรือ IP สำหรับโครงการที่เป็นการเปลี่ยนหรือซ่อมแซมของเดิม เช่น การเปลี่ยนรถ forklift หรือตู้แช่ โดยให้ดำเนินการตามระเบียบอำนาจในการอนุมัติ (CPAX-FN-001, ตารางที่ 1 ตารางอนุมัติของธุรกิจค้าส่งและธุรกิจค้าปลีก)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การตั้งชื่อและหมายเลขเอกสาร: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หน่วยงาน FP&amp;A จะเป็นผู้ตั้งชื่อและกำหนดหมายเลขเอกสาร ดังนี้: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รูปแบบชื่อเอกสาร ROI: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[ROI] [ปี] – [ลำดับเอกสาร] – [ประเภทโครงการ] – [หน่วยธุรกิจ]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ตัวอย่าง: ROI 2025 – 001 – Type1 – MK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รูปแบบชื่อเอกสาร IP: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[Committee] [ปี] – [ลำดับเอกสาร] – [ประเภทโครงการ] – [หน่วยธุรกิจ]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ตัวอย่าง: RIC 2025 – 002 – Type3 – LT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 คำอธิบายตัวย่อ: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[Committee]: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WMC = Wholesale Management Committee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RIC = Retail Investment Committee Thailand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ITDC = Committee for Investment Approval in Technology and Distribution Center Investments for CPAxtra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[Project Type]: อ้างอิงจาก 5 ประเภทโครงการที่ระบุไว้ข้างต้น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[BU] (Business Unit):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MK = Makro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LT = Lotus’s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CPAXT = Makro and Lotus’s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ผู้มีอำนาจอนุมัติการลงทุนในโครงการ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คำจำกัดความ: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HOD หมายถึง Head of Department หรือ Function Head ตั้งแต่ระดับ Senior Manager ขึ้นไป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LOA หมายถึง ระเบียบปฏิบัติเรื่องอำนาจอนุมัติ (Level of Authorization) ตามเอกสาร CPAX-FN-001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DOA หมายถึง ตารางอำนาจอนุมัติในการบริหารและการดำเนินงาน (Delegation of Authority)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0000f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ff"/>
          <w:sz w:val="24"/>
          <w:szCs w:val="24"/>
          <w:rtl w:val="0"/>
        </w:rPr>
        <w:t xml:space="preserve">## แนวทางการอนุมัติการลงทุนในโครงการของธุรกิจค้าส่ง: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สำหรับโครงการประเภทที่ 1, 2, 3 และ 5: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วงเงินไม่เกิน 500,000 บาท: HOD ตาม LOA ระเบียบปฏิบัติเรื่องอำนาจอนุมัติ (Level of Authorization) ตามเอกสาร CPAX-FN-001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500,000 บาทแต่ไม่เกิน 20 ล้านบาท: HOD และฝ่าย Finance ตาม LOA ระเบียบปฏิบัติเรื่องอำนาจอนุมัติ (Level of Authorization) ตามเอกสาร CPAX-FN-001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20 ล้านบาทแต่ไม่เกิน 200 ล้านบาท: พิจารณาโดย Wholesale Management Committee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200 ล้านบาท: อ้างอิงตาม DOA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สำหรับโครงการประเภทที่ 4 (เทคโนโลยีและศูนย์กระจายสินค้า):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วงเงินไม่เกิน 500,000 บาท: HOD ตาม LOA ระเบียบปฏิบัติเรื่องอำนาจอนุมัติ (Level of Authorization) ตามเอกสาร CPAX-FN-001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500,000 บาทแต่ไม่เกิน 20 ล้านบาท: HOD และฝ่าย Finance ตาม LOA ระเบียบปฏิบัติเรื่องอำนาจอนุมัติ (Level of Authorization) ตามเอกสาร CPAX-FN-001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20 ล้านบาทแต่ไม่เกิน 200 ล้านบาท: พิจารณาโดย IT &amp; DC Committee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200 ล้านบาท: อ้างอิงตาม DOA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0000f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ff"/>
          <w:sz w:val="24"/>
          <w:szCs w:val="24"/>
          <w:rtl w:val="0"/>
        </w:rPr>
        <w:t xml:space="preserve">## แนวทางการอนุมัติการลงทุนในโครงการของธุรกิจค้าปลีก: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สำหรับโครงการประเภทที่ 1 และ 2: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วงเงินไม่เกิน 200 ล้านบาท: พิจารณาโดย Retail Investment Committee Thailand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200 ล้านบาท: อ้างอิงตาม DOA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สำหรับโครงการประเภทที่ 3 และ 5: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วงเงินไม่เกิน 5 ล้านบาท: HOD และฝ่าย Finance ตาม LOA ระเบียบปฏิบัติเรื่องอำนาจอนุมัติ (Level of Authorization) ตามเอกสาร CPAX-FN-001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5 ล้านบาทแต่ไม่เกิน 200 ล้านบาท: พิจารณาโดย Retail Investment Committee Thailand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200 ล้านบาท: อ้างอิงตาม DOA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สำหรับโครงการประเภทที่ 4: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วงเงินไม่เกิน 5 ล้านบาท: HOD และฝ่าย Finance ตาม LOA ระเบียบปฏิบัติเรื่องอำนาจอนุมัติ (Level of Authorization) ตามเอกสาร CPAX-FN-001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5 ล้านบาทแต่ไม่เกิน 20 ล้านบาท: พิจารณาโดย Retail Investment Committee Thailand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20 ล้านบาทแต่ไม่เกิน 200 ล้านบาท: พิจารณาโดย IT &amp; DC Committee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วงเงินมากกว่า 200 ล้านบาท: อ้างอิงตาม DOA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0000f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ff"/>
          <w:sz w:val="24"/>
          <w:szCs w:val="24"/>
          <w:rtl w:val="0"/>
        </w:rPr>
        <w:t xml:space="preserve">## ข้อพิจารณาเพิ่มเติมสำหรับผู้มีอำนาจอนุมัติการลงทุนในโครงการ: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โครงการที่เกี่ยวข้องกับอสังหาริมทรัพย์ ต้องได้รับการสอบทานจากหน่วยงาน Property Development หรือ Construction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โครงการที่เป็นรูปแบบ XaaS (Anything as a service) ต้องได้รับการสอบทานจากหน่วยงาน Technology and Data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การอนุมัติจากหน่วยงานอื่นให้ยึดตามระเบียบ CPAX-FN-001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ห้ามแบ่งมูลค่าโครงการออกเป็นส่วนย่อยเพื่อหลีกเลี่ยงการอนุมัติตามระดับอำนาจ เช่น การเปลี่ยนสินทรัพย์เดียวกันในหลายสาขา ต้องรวมเป็นโครงการเดียว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การขออนุมัติงบประมาณในการทำโครงการ: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 เจ้าของโครงการต้องกรอกข้อมูลใน Budget Year Plan template ที่ได้รับจากฝ่าย Finance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2. ฝ่าย Finance รวบรวมงบประมาณจากทุกหน่วยงานและนำเสนอเพื่อขออนุมัติต่อ EXCOM-CPAXT และ BOD-CPAXT ตามลำดับ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3. ฝ่าย Finance จัดเก็บรายละเอียดงบประมาณแยกตามหน่วยงาน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ผลตอบแทนของโครงการ: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ใช้เกณฑ์ Internal Rate of Return (IRR) และ Payback Period (PBP) เป็นหลักในการพิจารณา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อัตราผลตอบแทนที่คำนวณโดยเจ้าของโครงการอาจสูงหรือต่ำกว่าที่กำหนด โดยฝ่าย Finance และ/หรือคณะกรรมการที่เกี่ยวข้องจะเป็นผู้พิจารณาความเหมาะสมของโครงการ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0000f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ff"/>
          <w:sz w:val="24"/>
          <w:szCs w:val="24"/>
          <w:rtl w:val="0"/>
        </w:rPr>
        <w:t xml:space="preserve">## ตาราง IRR ตามประเภทโครงการ: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สำหรับโครงการประเภทที่ 1 และ 2: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รูปแบบ Big Format: ต้องมีอัตราผลตอบแทนภายใน (IRR) ไม่น้อยกว่า 9%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รูปแบบ Super Market: ต้องมี IRR ไม่น้อยกว่า 13%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รูปแบบ Mini Super Market: ต้องมี IRR ไม่น้อยกว่า 20%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สำหรับโครงการประเภทที่ 3, 4 และ 5: 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ต้องมี IRR ไม่น้อยกว่า 20% ไม่ว่ารูปแบบใด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0000f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ff"/>
          <w:sz w:val="24"/>
          <w:szCs w:val="24"/>
          <w:rtl w:val="0"/>
        </w:rPr>
        <w:t xml:space="preserve">## ตาราง PBP ตามประเภทโครงการ: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สำหรับโครงการประเภทที่ 1 และ 2: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รูปแบบ Big Format: ระยะเวลาคืนทุน (Payback Period: PBP) ไม่เกิน 11 ปี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รูปแบบ Super Market: PBP ไม่เกิน 7 ปี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 - รูปแบบ Mini Super Market: PBP ไม่เกิน 4 ปี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ff0000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ff0000"/>
          <w:sz w:val="24"/>
          <w:szCs w:val="24"/>
          <w:rtl w:val="0"/>
        </w:rPr>
        <w:t xml:space="preserve">### สำหรับโครงการประเภทที่ 3, 4 และ 5: 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PBP ไม่เกิน 4 ปี ไม่ว่ารูปแบบใด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แนวทางการประเมินโครงการหลังเริ่มใช้งานจริง (Postnatal Review):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 เจ้าของโครงการต้องติดตาม ควบคุม และสอบทานความก้าวหน้าและความสำเร็จของโครงการให้เป็นไปตามแผนงาน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2. เมื่อโครงการเสร็จสิ้นและได้ Implement แล้ว ให้ดำเนินการดังนี้: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  - หากมีการจัดทำ Investment Proposal: หน่วยงาน Investment ต้องประเมินโครงการอย่างน้อยหนึ่งครั้งภายใน 1 ปีหลังจาก Implement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  - สำหรับโครงการประเภทที่ 1: ต้องประเมินต่อเนื่องทุกปีเป็นเวลา 3 ปี เพื่อเปรียบเทียบผลตอบแทนกับที่ขออนุมัติไว้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  - หากโครงการต้องประเมินมากกว่า 3 ปี: หน่วยงาน Investment และเจ้าของโครงการจะตกลงร่วมกัน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   - ผลการประเมินจะถูกนำเสนอให้กับคณะกรรมการที่เกี่ยวข้อง เช่น WMC, RIC หรือ IT&amp;DC เพื่อพิจารณา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 วิธีการปฏิบัติงานของธุรกิจค้าปลีก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1. วิธีปฏิบัติงานเมื่อเริ่มทำโครงการ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1.1 การขออนุมัติใช้งบประมาณเพื่อลงทุนโครงการ: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เอกสาร ROI หรือ IP ต้องได้รับการตรวจสอบและอนุมัติโดยผู้มีอำนาจตามเงื่อนไขอำนาจอนุมัติของธุรกิจค้าปลีก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สำหรับโครงการประเภท non-property และ Property – Mall ต้องผ่านการตรวจสอบจากฝ่ายบัญชี โดยเฉพาะ Senior Manager – Accounting General Ledger &amp; Fixed Assets เพื่อให้แน่ใจว่ารายการใช้จ่ายสามารถบันทึกเป็นสินทรัพย์ตามมาตรฐานบัญชี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การตรวจสอบนี้สามารถทำได้ก่อนหรือหลังการนำเสนอ ROI/IP หากมีการกำหนดรายการสินทรัพย์ในภายหลัง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1.2 การขอเปิดโครงการผ่านระบบ (Project number requesting process): 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หลังจากโครงการได้รับอนุมัติ เจ้าของโครงการต้องขอเปิดโครงการผ่านระบบ Oracle ERP – Project module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ต้องแนบเอกสาร ROI, IP (ถ้ามี), รายงานการประชุม หรืออีเมลอนุมัติจากผู้มีอำนาจ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หน่วยงาน Finance ตรวจสอบเอกสารและอนุมัติการเปิดโครงการ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ระบบจะสร้างเลขที่โครงการอัตโนมัติ และแจ้งเตือนหน่วยงาน Accounting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หน่วยงาน Accounting จะสร้าง Project Code ในระบบ COA ผ่าน Oracle ERP – GL Module 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เจ้าของโครงการสามารถเริ่มสร้างใบขอซื้อ (PR) หรือใบสั่งซื้อ (PO) ได้ 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1.3 การติดตามและตรวจสอบโครงการ (Project tracking and monitoring):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เจ้าของโครงการต้องอัปเดตสถานะโครงการ (กำลังดำเนินการ หรือ เสร็จสิ้น) ผ่านระบบ Oracle ERP – Project module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เมื่อโครงการเสร็จสิ้น หน่วยงาน Finance – CAPEX จะยืนยันสถานะและเริ่มคำนวณค่าเสื่อมราคาสำหรับโครงการที่เป็น CAPEX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เจ้าของโครงการต้องเคลียร์ PO ทั้งหมดภายใน 3 เดือนหลังจากโครงการเสร็จสิ้น และยืนยันการเสร็จสิ้นกับ Finance – CAPEX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Finance – CAPEX จะดำเนินการปิดโครงการในระบบ และแจ้งเจ้าของโครงการและหน่วยงาน Accounting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2. วิธีปฏิบัติงานของโครงการที่แตกต่างจากโครงการที่ขออนุมัติงบประมาณ: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2.1 เจ้าของโครงการต้องแจ้ง Business Analyst เพื่อแก้ไข ROI/IP ตามงบประมาณใหม่ และขออนุมัติจากผู้มีอำนาจ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0000f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ff"/>
          <w:sz w:val="24"/>
          <w:szCs w:val="24"/>
          <w:rtl w:val="0"/>
        </w:rPr>
        <w:t xml:space="preserve">### 2.1.1 หากโครงการยังไม่ใกล้แล้วเสร็จ (ไม่เสร็จ):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พิจารณาจากมูลค่าการลงทุนรวมใหม่: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#### ถ้าไม่เกิน 5 ล้านบาท: เจ้าของโครงการสามารถอนุมัติได้ตามลำดับอำนาจใน CPAX-FN-001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#### ถ้าเกิน 5 ล้านบาท: ต้องได้รับอนุมัติจากผู้มีอำนาจตามตารางที่ 2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color w:val="0000ff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color w:val="0000ff"/>
          <w:sz w:val="24"/>
          <w:szCs w:val="24"/>
          <w:rtl w:val="0"/>
        </w:rPr>
        <w:t xml:space="preserve">### 2.1.2 หากโครงการใกล้เสร็จ: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พิจารณาจากมูลค่าส่วนเพิ่มจากงบประมาณเดิม: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#### ถ้าไม่เกิน 5 ล้านบาท: เจ้าของโครงการสามารถอนุมัติได้ตามลำดับอำนาจใน CPAX-FN-001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#### ถ้าเกิน 5 ล้านบาท: ต้องได้รับอนุมัติจากผู้มีอำนาจตามตารางที่ 2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4"/>
          <w:szCs w:val="24"/>
          <w:rtl w:val="0"/>
        </w:rPr>
        <w:t xml:space="preserve">## 3. เมื่องบประมาณใหม่ได้รับอนุมัติ:</w:t>
      </w: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- หน่วยงาน Finance จะอนุมัติการแก้ไขตัวเลขงบประมาณในระบบให้กับเจ้าของโครงการ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rPr>
          <w:rFonts w:ascii="Cordia New" w:cs="Cordia New" w:eastAsia="Cordia New" w:hAnsi="Cordia New"/>
          <w:sz w:val="24"/>
          <w:szCs w:val="24"/>
        </w:rPr>
      </w:pPr>
      <w:r w:rsidDel="00000000" w:rsidR="00000000" w:rsidRPr="00000000">
        <w:rPr>
          <w:rFonts w:ascii="Cordia New" w:cs="Cordia New" w:eastAsia="Cordia New" w:hAnsi="Cordia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di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