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CA31" w14:textId="7F8234BC" w:rsidR="007B61C8" w:rsidRPr="002F5316" w:rsidRDefault="007B61C8" w:rsidP="00BD39C3">
      <w:pPr>
        <w:rPr>
          <w:rFonts w:ascii="Cordia New" w:hAnsi="Cordia New" w:cs="Cordia New" w:hint="cs"/>
          <w:sz w:val="32"/>
          <w:szCs w:val="32"/>
          <w:lang w:val="en-US"/>
        </w:rPr>
      </w:pPr>
      <w:bookmarkStart w:id="0" w:name="_GoBack"/>
      <w:bookmarkEnd w:id="0"/>
    </w:p>
    <w:p w14:paraId="34B21E98" w14:textId="77777777" w:rsidR="002F5316" w:rsidRPr="002F5316" w:rsidRDefault="002F5316" w:rsidP="005C5319">
      <w:pPr>
        <w:spacing w:after="0"/>
        <w:rPr>
          <w:rFonts w:ascii="Cordia New" w:hAnsi="Cordia New" w:cs="Cordia New" w:hint="cs"/>
          <w:sz w:val="32"/>
          <w:szCs w:val="32"/>
          <w:lang w:val="en-US" w:bidi="th-TH"/>
        </w:rPr>
      </w:pPr>
      <w:r w:rsidRPr="002F5316">
        <w:rPr>
          <w:rFonts w:ascii="Cordia New" w:hAnsi="Cordia New" w:cs="Cordia New" w:hint="cs"/>
          <w:sz w:val="32"/>
          <w:szCs w:val="32"/>
          <w:cs/>
          <w:lang w:val="en-US" w:bidi="th-TH"/>
        </w:rPr>
        <w:t>กระบวนงาน  ระเบียบการปฏิบัติงานเกี่ยวกับเงินลงทุนโครงการ</w:t>
      </w:r>
    </w:p>
    <w:p w14:paraId="5A2F1A0C" w14:textId="64FC0E01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วัตถุประสงค์ของวิธีปฏิบัติงาน:</w:t>
      </w:r>
    </w:p>
    <w:p w14:paraId="5C072F6D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วิธีปฏิบัติงานนี้จัดทำขึ้นเพื่อเป็นแนวทางในการดำเนินงานและการอนุมัติเงินลงทุนในโครงการต่าง ๆ ของบริษัท ซีพี แอ็กซ์ตร้า จำกัด (มหาชน) ซึ่งประกอบด้วย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ธุรกิจหลัก ได้แก่ ธุรกิจค้าส่ง และธุรกิจค้าปลีก โดยแบ่งประเภทของโครงการลงทุนออกเป็น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ประเภท ดังนี้:</w:t>
      </w:r>
    </w:p>
    <w:p w14:paraId="1AB3461C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6A956E05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ประเภทของโครงการลงทุน:</w:t>
      </w:r>
    </w:p>
    <w:p w14:paraId="01AAAB75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โครงการสร้างสโตร์ใหม่ (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New Store Project)</w:t>
      </w:r>
    </w:p>
    <w:p w14:paraId="0B8061BA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โครงการปรับปรุงสโตร์หรือ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Mall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ที่เปิดอยู่แล้ว (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Store Remodeling Project, Refresh, Mall Extension)</w:t>
      </w:r>
    </w:p>
    <w:p w14:paraId="5731D538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3.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โครงการทำธุรกิจใหม่หรือโครงการเชิงกลยุทธ์ (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New Business Model, New Concept)</w:t>
      </w:r>
    </w:p>
    <w:p w14:paraId="2DCD9C1A" w14:textId="1F4A5152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4.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โครงการด้านเทคโนโลยีและศูนย์กระจายสินค้า รวมถึงโครงการ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IT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proofErr w:type="spellStart"/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XaaS</w:t>
      </w:r>
      <w:proofErr w:type="spellEnd"/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 (</w:t>
      </w:r>
      <w:r w:rsidR="0057654A">
        <w:rPr>
          <w:rFonts w:ascii="Cordia New" w:eastAsia="Times New Roman" w:hAnsi="Cordia New" w:cs="Cordia New"/>
          <w:sz w:val="32"/>
          <w:szCs w:val="32"/>
          <w:lang w:val="en-US" w:bidi="th-TH"/>
        </w:rPr>
        <w:t xml:space="preserve">Anything as a service) </w:t>
      </w:r>
      <w:r w:rsidR="0057654A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หรือ รูปแบบสมาชิก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 </w:t>
      </w:r>
      <w:r w:rsidR="0057654A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โดยชำระค่า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บริการ</w:t>
      </w:r>
      <w:r w:rsidR="0057654A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เป็น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รายเดือน รายปี หรือแบบใช้งานตามช่วงเวลา</w:t>
      </w:r>
      <w:r w:rsidR="0057654A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ที่ต้องการ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 </w:t>
      </w:r>
      <w:r w:rsidR="0057654A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และ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เป็นการลงทุนต่อเนื่องภายใน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3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ปี</w:t>
      </w:r>
    </w:p>
    <w:p w14:paraId="43EA6909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โครงการอื่น ๆ เช่น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Facility Management, Energy Saving,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การจัดซื้อจัดจ้างใหม่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,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โครงการของสำนักงานใหญ่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, Mall Spa, Food Court</w:t>
      </w:r>
    </w:p>
    <w:p w14:paraId="12CC6513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02A7073B" w14:textId="70F0A8CC" w:rsidR="005C5319" w:rsidRDefault="005C5319" w:rsidP="005C5319">
      <w:pPr>
        <w:spacing w:after="0"/>
        <w:rPr>
          <w:rFonts w:ascii="Cordia New" w:eastAsia="Times New Roman" w:hAnsi="Cordia New" w:cs="Cordia New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แนวทางการปฏิบัติงานแยกตามลักษณะธุรกิจ</w:t>
      </w:r>
      <w:r w:rsidR="0057654A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 แบ่งเป็นสองประภทธุรกิจ ซึ่งคือ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ธุรกิจค้าส่ง</w:t>
      </w:r>
      <w:r w:rsidR="0057654A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และ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ธุรกิจค้าปลีก</w:t>
      </w:r>
    </w:p>
    <w:p w14:paraId="5B8882C8" w14:textId="77777777" w:rsidR="0057654A" w:rsidRPr="005C5319" w:rsidRDefault="0057654A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5CCD0C64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แต่ละธุรกิจมีแนวทางปฏิบัติงาน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หัวข้อ:</w:t>
      </w:r>
    </w:p>
    <w:p w14:paraId="41614DBE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วิธีปฏิบัติงานเมื่อเริ่มทำโครงการ</w:t>
      </w:r>
    </w:p>
    <w:p w14:paraId="4CF054B4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วิธีปฏิบัติงานเมื่อโครงการมีความแตกต่างจากที่ได้รับอนุมัติงบประมาณ</w:t>
      </w:r>
    </w:p>
    <w:p w14:paraId="3AEE5FB2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65DA157D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เอกสารเพื่อขออนุมัติลงทุน:</w:t>
      </w:r>
    </w:p>
    <w:p w14:paraId="7A7756D7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เมื่อได้รับอนุมัติงบประมาณแล้ว ก่อนดำเนินการลงทุนจริง เจ้าของโครงการต้องจัดทำเอกสารเพื่อขออนุมัติลงทุน โดยต้องได้รับอนุมัติก่อนการสั่งซื้อหรือออกใบขอซื้อ (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PR/PO)</w:t>
      </w:r>
    </w:p>
    <w:p w14:paraId="4F4B6EAA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1BE153A4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ธุรกิจค้าส่ง:</w:t>
      </w:r>
    </w:p>
    <w:p w14:paraId="2E5272ED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ROI (Return on Investment):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สำหรับโครงการมูลค่ามากกว่า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500,000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บาท แต่ไม่เกิน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ล้านบาท</w:t>
      </w:r>
    </w:p>
    <w:p w14:paraId="2C0FB85A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IP (Investment Proposal):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สำหรับโครงการมูลค่าเกิน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ล้านบาท</w:t>
      </w:r>
    </w:p>
    <w:p w14:paraId="72202EC2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57AEAF0D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ธุรกิจค้าปลีก:</w:t>
      </w:r>
    </w:p>
    <w:p w14:paraId="637E792F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ROI: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ต้องจัดทำสำหรับทุกโครงการ</w:t>
      </w:r>
    </w:p>
    <w:p w14:paraId="05FBFCC2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IP: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จัดทำเพิ่มเติมจาก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ROI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สำหรับโครงการที่ต้องขออนุมัติจาก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Retail Investment Committee Thailand</w:t>
      </w:r>
    </w:p>
    <w:p w14:paraId="2F1C5B8B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6DF0BEC2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ข้อยกเว้น:</w:t>
      </w:r>
    </w:p>
    <w:p w14:paraId="47D2FB75" w14:textId="24DBF83B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ไม่ต้องจัดทำ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ROI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หรือ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IP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สำหรับโครงการที่เป็นการเปลี่ยนหรือซ่อมแซมของเดิม เช่น การเปลี่ยนรถ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forklift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หรือตู้แช่ โดยให้ดำเนินการตามระเบียบอำนาจในการอนุมัติ (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CPAX-FN-001,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ตารางที่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1</w:t>
      </w:r>
      <w:r w:rsidR="0057654A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 ตารางอนุมัติของธุรกิจค้าส่งและธุรกิจค้าปลีก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)</w:t>
      </w:r>
    </w:p>
    <w:p w14:paraId="04058F66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645AF200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การตั้งชื่อและหมายเลขเอกสาร:</w:t>
      </w:r>
    </w:p>
    <w:p w14:paraId="1002E1D0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หน่วยงาน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FP&amp;A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จะเป็นผู้ตั้งชื่อและกำหนดหมายเลขเอกสาร ดังนี้:</w:t>
      </w:r>
    </w:p>
    <w:p w14:paraId="599DAD0C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11047FF3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รูปแบบชื่อเอกสาร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ROI:</w:t>
      </w:r>
    </w:p>
    <w:p w14:paraId="74AD57E7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[ROI] [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ปี] – [ลำดับเอกสาร] – [ประเภทโครงการ] – [หน่วยธุรกิจ]</w:t>
      </w:r>
    </w:p>
    <w:p w14:paraId="391235D3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ตัวอย่าง: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ROI 2025 – 001 – Type1 – MK</w:t>
      </w:r>
    </w:p>
    <w:p w14:paraId="0AA7B1B4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5E58F5E5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รูปแบบชื่อเอกสาร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IP:</w:t>
      </w:r>
    </w:p>
    <w:p w14:paraId="15DE322D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[Committee] [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ปี] – [ลำดับเอกสาร] – [ประเภทโครงการ] – [หน่วยธุรกิจ]</w:t>
      </w:r>
    </w:p>
    <w:p w14:paraId="0837B5FA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ตัวอย่าง: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RIC 2025 – 002 – Type3 – LT</w:t>
      </w:r>
    </w:p>
    <w:p w14:paraId="5C4CF230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0EF40863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คำอธิบายตัวย่อ:</w:t>
      </w:r>
    </w:p>
    <w:p w14:paraId="42F2757D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- [Committee]:</w:t>
      </w:r>
    </w:p>
    <w:p w14:paraId="6A9206BD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  - WMC = Wholesale Management Committee</w:t>
      </w:r>
    </w:p>
    <w:p w14:paraId="7F1961B0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  - RIC = Retail Investment Committee Thailand</w:t>
      </w:r>
    </w:p>
    <w:p w14:paraId="0BC5A5C3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ITDC = Committee for Investment Approval in Technology and Distribution Center Investments for </w:t>
      </w:r>
      <w:proofErr w:type="spellStart"/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CPAxtra</w:t>
      </w:r>
      <w:proofErr w:type="spellEnd"/>
    </w:p>
    <w:p w14:paraId="3874D107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7483D34E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[Project Type]: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อ้างอิงจาก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ประเภทโครงการที่ระบุไว้ข้างต้น</w:t>
      </w:r>
    </w:p>
    <w:p w14:paraId="004E4868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- [BU] (Business Unit):</w:t>
      </w:r>
    </w:p>
    <w:p w14:paraId="563C7501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  - MK = Makro</w:t>
      </w:r>
    </w:p>
    <w:p w14:paraId="68617C2E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lastRenderedPageBreak/>
        <w:t>  - LT = Lotus’s</w:t>
      </w:r>
    </w:p>
    <w:p w14:paraId="7EE5F09C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  - CPAXT = Makro and Lotus’s</w:t>
      </w:r>
    </w:p>
    <w:p w14:paraId="661BE065" w14:textId="70943F19" w:rsidR="005C5319" w:rsidRPr="002F5316" w:rsidRDefault="005C5319" w:rsidP="00BD39C3">
      <w:pPr>
        <w:rPr>
          <w:rFonts w:ascii="Cordia New" w:hAnsi="Cordia New" w:cs="Cordia New" w:hint="cs"/>
          <w:sz w:val="32"/>
          <w:szCs w:val="32"/>
          <w:lang w:val="en-US"/>
        </w:rPr>
      </w:pPr>
    </w:p>
    <w:p w14:paraId="0060FE0A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ผู้มีอำนาจอนุมัติการลงทุนในโครงการ</w:t>
      </w:r>
    </w:p>
    <w:p w14:paraId="23FE803B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758A0C8E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คำจำกัดความ:</w:t>
      </w:r>
    </w:p>
    <w:p w14:paraId="4C10A9DB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HOD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หมายถึง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Head of Department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หรือ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Function Head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ตั้งแต่ระดับ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Senior Manager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ขึ้นไป</w:t>
      </w:r>
    </w:p>
    <w:p w14:paraId="36512395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LOA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หมายถึง ระเบียบปฏิบัติเรื่องอำนาจอนุมัติ (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Level of Authorization)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ตามเอกสาร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61CEC99E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DOA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หมายถึง ตารางอำนาจอนุมัติในการบริหารและการดำเนินงาน (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Delegation of Authority)</w:t>
      </w:r>
    </w:p>
    <w:p w14:paraId="55199EF8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52F47180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แนวทางการอนุมัติการลงทุนในโครงการของธุรกิจค้าส่ง:</w:t>
      </w:r>
    </w:p>
    <w:p w14:paraId="06B31A70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สำหรับโครงการประเภทที่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1, 2, 3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5:</w:t>
      </w:r>
    </w:p>
    <w:p w14:paraId="2009F37C" w14:textId="3DD42C1E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วงเงินไม่เกิน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500,000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บาท: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HOD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ตาม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LOA</w:t>
      </w:r>
      <w:r w:rsidR="00243196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 </w:t>
      </w:r>
      <w:r w:rsidR="00243196"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ระเบียบปฏิบัติเรื่องอำนาจอนุมัติ (</w:t>
      </w:r>
      <w:r w:rsidR="00243196"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Level of Authorization) </w:t>
      </w:r>
      <w:r w:rsidR="00243196"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ตามเอกสาร </w:t>
      </w:r>
      <w:r w:rsidR="00243196"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38CEA9C0" w14:textId="7FF40F53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วงเงินมากกว่า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500,000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บาทแต่ไม่เกิน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HOD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และฝ่าย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Finance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ตาม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LOA</w:t>
      </w:r>
      <w:r w:rsidR="00243196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 </w:t>
      </w:r>
      <w:r w:rsidR="00243196"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ระเบียบปฏิบัติเรื่องอำนาจอนุมัติ (</w:t>
      </w:r>
      <w:r w:rsidR="00243196"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Level of Authorization) </w:t>
      </w:r>
      <w:r w:rsidR="00243196"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ตามเอกสาร </w:t>
      </w:r>
      <w:r w:rsidR="00243196"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6B52EC16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วงเงินมากกว่า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ล้านบาทแต่ไม่เกิน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200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พิจารณาโดย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Wholesale Management Committee</w:t>
      </w:r>
    </w:p>
    <w:p w14:paraId="6737F0D1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วงเงินมากกว่า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200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อ้างอิงตาม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DOA</w:t>
      </w:r>
    </w:p>
    <w:p w14:paraId="681E6042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705FB81D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สำหรับโครงการประเภทที่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4 (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เทคโนโลยีและศูนย์กระจายสินค้า):</w:t>
      </w:r>
    </w:p>
    <w:p w14:paraId="23271F35" w14:textId="77319972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วงเงินไม่เกิน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500,000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บาท: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HOD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ตาม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LOA</w:t>
      </w:r>
      <w:r w:rsidR="00243196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 </w:t>
      </w:r>
      <w:r w:rsidR="00243196"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ระเบียบปฏิบัติเรื่องอำนาจอนุมัติ (</w:t>
      </w:r>
      <w:r w:rsidR="00243196"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Level of Authorization) </w:t>
      </w:r>
      <w:r w:rsidR="00243196"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ตามเอกสาร </w:t>
      </w:r>
      <w:r w:rsidR="00243196"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2EE4F2AC" w14:textId="1DDFCBF3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วงเงินมากกว่า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500,000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บาทแต่ไม่เกิน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HOD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และฝ่าย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Finance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ตาม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LOA</w:t>
      </w:r>
      <w:r w:rsidR="00243196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 </w:t>
      </w:r>
      <w:r w:rsidR="00243196"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ระเบียบปฏิบัติเรื่องอำนาจอนุมัติ (</w:t>
      </w:r>
      <w:r w:rsidR="00243196"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Level of Authorization) </w:t>
      </w:r>
      <w:r w:rsidR="00243196"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ตามเอกสาร </w:t>
      </w:r>
      <w:r w:rsidR="00243196"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203E6FBA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วงเงินมากกว่า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ล้านบาทแต่ไม่เกิน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200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พิจารณาโดย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IT &amp; DC Committee</w:t>
      </w:r>
    </w:p>
    <w:p w14:paraId="1650F1BD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วงเงินมากกว่า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200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อ้างอิงตาม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DOA</w:t>
      </w:r>
    </w:p>
    <w:p w14:paraId="3A5697DB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270C8F3E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แนวทางการอนุมัติการลงทุนในโครงการของธุรกิจค้าปลีก:</w:t>
      </w:r>
    </w:p>
    <w:p w14:paraId="27DFF978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สำหรับโครงการประเภทที่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2:</w:t>
      </w:r>
    </w:p>
    <w:p w14:paraId="5672300F" w14:textId="2EF0037D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วงเงินไม่เกิน </w:t>
      </w:r>
      <w:r w:rsidR="000A218F">
        <w:rPr>
          <w:rFonts w:ascii="Cordia New" w:eastAsia="Times New Roman" w:hAnsi="Cordia New" w:cs="Cordia New"/>
          <w:sz w:val="32"/>
          <w:szCs w:val="32"/>
          <w:lang w:val="en-US" w:bidi="th-TH"/>
        </w:rPr>
        <w:t>200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พิจารณาโดย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Retail Investment Committee Thailand</w:t>
      </w:r>
    </w:p>
    <w:p w14:paraId="75AA8384" w14:textId="411CF952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lastRenderedPageBreak/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วงเงินมากกว่า </w:t>
      </w:r>
      <w:r w:rsidR="000A218F">
        <w:rPr>
          <w:rFonts w:ascii="Cordia New" w:eastAsia="Times New Roman" w:hAnsi="Cordia New" w:cs="Cordia New"/>
          <w:sz w:val="32"/>
          <w:szCs w:val="32"/>
          <w:lang w:val="en-US" w:bidi="th-TH"/>
        </w:rPr>
        <w:t xml:space="preserve">200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อ้างอิงตาม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DOA</w:t>
      </w:r>
    </w:p>
    <w:p w14:paraId="29845784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551E2078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สำหรับโครงการประเภทที่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3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5:</w:t>
      </w:r>
    </w:p>
    <w:p w14:paraId="7FD07A4D" w14:textId="648346DF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วงเงินไม่เกิน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HOD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และฝ่าย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Finance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ตาม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LOA</w:t>
      </w:r>
      <w:r w:rsidR="000A218F">
        <w:rPr>
          <w:rFonts w:ascii="Cordia New" w:eastAsia="Times New Roman" w:hAnsi="Cordia New" w:cs="Cordia New"/>
          <w:sz w:val="32"/>
          <w:szCs w:val="32"/>
          <w:lang w:val="en-US" w:bidi="th-TH"/>
        </w:rPr>
        <w:t xml:space="preserve"> </w:t>
      </w:r>
      <w:r w:rsidR="000A218F"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ระเบียบปฏิบัติเรื่องอำนาจอนุมัติ (</w:t>
      </w:r>
      <w:r w:rsidR="000A218F"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Level of Authorization) </w:t>
      </w:r>
      <w:r w:rsidR="000A218F"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ตามเอกสาร </w:t>
      </w:r>
      <w:r w:rsidR="000A218F"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7BF0CC96" w14:textId="1B42CE0D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วงเงินมากกว่า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ล้านบาทแต่ไม่เกิน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20</w:t>
      </w:r>
      <w:r w:rsidR="000A218F">
        <w:rPr>
          <w:rFonts w:ascii="Cordia New" w:eastAsia="Times New Roman" w:hAnsi="Cordia New" w:cs="Cordia New"/>
          <w:sz w:val="32"/>
          <w:szCs w:val="32"/>
          <w:lang w:val="en-US" w:bidi="th-TH"/>
        </w:rPr>
        <w:t>0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พิจารณาโดย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Retail Investment Committee Thailand</w:t>
      </w:r>
    </w:p>
    <w:p w14:paraId="5FE596FE" w14:textId="6CE797EB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วงเงินมากกว่า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20</w:t>
      </w:r>
      <w:r w:rsidR="000A218F">
        <w:rPr>
          <w:rFonts w:ascii="Cordia New" w:eastAsia="Times New Roman" w:hAnsi="Cordia New" w:cs="Cordia New"/>
          <w:sz w:val="32"/>
          <w:szCs w:val="32"/>
          <w:lang w:val="en-US" w:bidi="th-TH"/>
        </w:rPr>
        <w:t>0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อ้างอิงตาม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DOA</w:t>
      </w:r>
    </w:p>
    <w:p w14:paraId="05DE7BE6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4343D011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สำหรับโครงการประเภทที่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4:</w:t>
      </w:r>
    </w:p>
    <w:p w14:paraId="1B91E7C8" w14:textId="28A07FDD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วงเงินไม่เกิน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HOD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และฝ่าย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Finance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ตาม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LOA</w:t>
      </w:r>
      <w:r w:rsidR="000A218F">
        <w:rPr>
          <w:rFonts w:ascii="Cordia New" w:eastAsia="Times New Roman" w:hAnsi="Cordia New" w:cs="Cordia New"/>
          <w:sz w:val="32"/>
          <w:szCs w:val="32"/>
          <w:lang w:val="en-US" w:bidi="th-TH"/>
        </w:rPr>
        <w:t xml:space="preserve"> </w:t>
      </w:r>
      <w:r w:rsidR="000A218F"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ระเบียบปฏิบัติเรื่องอำนาจอนุมัติ (</w:t>
      </w:r>
      <w:r w:rsidR="000A218F"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Level of Authorization) </w:t>
      </w:r>
      <w:r w:rsidR="000A218F"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ตามเอกสาร </w:t>
      </w:r>
      <w:r w:rsidR="000A218F"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4775A1B2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วงเงินมากกว่า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ล้านบาทแต่ไม่เกิน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พิจารณาโดย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Retail Investment Committee Thailand</w:t>
      </w:r>
    </w:p>
    <w:p w14:paraId="06C912CB" w14:textId="71D4525F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วงเงินมากกว่า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ล้านบาทแต่ไม่เกิน </w:t>
      </w:r>
      <w:r w:rsidR="000A218F">
        <w:rPr>
          <w:rFonts w:ascii="Cordia New" w:eastAsia="Times New Roman" w:hAnsi="Cordia New" w:cs="Cordia New"/>
          <w:sz w:val="32"/>
          <w:szCs w:val="32"/>
          <w:lang w:val="en-US" w:bidi="th-TH"/>
        </w:rPr>
        <w:t>2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00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พิจารณาโดย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IT &amp; DC Committee</w:t>
      </w:r>
    </w:p>
    <w:p w14:paraId="6AE2A326" w14:textId="4D6A09D8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วงเงินมากกว่า </w:t>
      </w:r>
      <w:r w:rsidR="000A218F">
        <w:rPr>
          <w:rFonts w:ascii="Cordia New" w:eastAsia="Times New Roman" w:hAnsi="Cordia New" w:cs="Cordia New"/>
          <w:sz w:val="32"/>
          <w:szCs w:val="32"/>
          <w:lang w:val="en-US" w:bidi="th-TH"/>
        </w:rPr>
        <w:t>2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00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อ้างอิงตาม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DOA</w:t>
      </w:r>
    </w:p>
    <w:p w14:paraId="7A87FCAD" w14:textId="77777777" w:rsidR="000A218F" w:rsidRDefault="000A218F" w:rsidP="005C5319">
      <w:pPr>
        <w:spacing w:after="0"/>
        <w:rPr>
          <w:rFonts w:ascii="Cordia New" w:eastAsia="Times New Roman" w:hAnsi="Cordia New" w:cs="Cordia New"/>
          <w:sz w:val="32"/>
          <w:szCs w:val="32"/>
          <w:lang w:val="en-US" w:bidi="th-TH"/>
        </w:rPr>
      </w:pPr>
    </w:p>
    <w:p w14:paraId="1399EBDB" w14:textId="7808894B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ข้อพิจารณาเพิ่มเติม:</w:t>
      </w:r>
    </w:p>
    <w:p w14:paraId="12F9FE90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โครงการที่เกี่ยวข้องกับอสังหาริมทรัพย์ ต้องได้รับการสอบทานจากหน่วยงาน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Property Development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หรือ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Construction</w:t>
      </w:r>
    </w:p>
    <w:p w14:paraId="1BA7912A" w14:textId="65DBBF64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โครงการที่เป็นรูปแบบ </w:t>
      </w:r>
      <w:proofErr w:type="spellStart"/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XaaS</w:t>
      </w:r>
      <w:proofErr w:type="spellEnd"/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 </w:t>
      </w:r>
      <w:r w:rsidR="000A218F">
        <w:rPr>
          <w:rFonts w:ascii="Cordia New" w:eastAsia="Times New Roman" w:hAnsi="Cordia New" w:cs="Cordia New"/>
          <w:sz w:val="32"/>
          <w:szCs w:val="32"/>
          <w:lang w:val="en-US" w:bidi="th-TH"/>
        </w:rPr>
        <w:t xml:space="preserve">(Anything as a service)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ต้องได้รับการสอบทานจากหน่วยงาน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Technology and Data</w:t>
      </w:r>
    </w:p>
    <w:p w14:paraId="0678AA3D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การอนุมัติจากหน่วยงานอื่นให้ยึดตามระเบียบ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5E279F8E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ห้ามแบ่งมูลค่าโครงการออกเป็นส่วนย่อยเพื่อหลีกเลี่ยงการอนุมัติตามระดับอำนาจ เช่น การเปลี่ยนสินทรัพย์เดียวกันในหลายสาขา ต้องรวมเป็นโครงการเดียว</w:t>
      </w:r>
    </w:p>
    <w:p w14:paraId="3120E9AC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56B13237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การขออนุมัติงบประมาณในการทำโครงการ:</w:t>
      </w:r>
    </w:p>
    <w:p w14:paraId="66E053CD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เจ้าของโครงการต้องกรอกข้อมูลใน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Budget Year Plan template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ที่ได้รับจากฝ่าย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Finance</w:t>
      </w:r>
    </w:p>
    <w:p w14:paraId="46FBC7EC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ฝ่าย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Finance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รวบรวมงบประมาณจากทุกหน่วยงานและนำเสนอเพื่อขออนุมัติต่อ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EXCOM-CPAXT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BOD-CPAXT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ตามลำดับ</w:t>
      </w:r>
    </w:p>
    <w:p w14:paraId="44318A84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3.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ฝ่าย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Finance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จัดเก็บรายละเอียดงบประมาณแยกตามหน่วยงาน</w:t>
      </w:r>
    </w:p>
    <w:p w14:paraId="3B9BC55E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57274199" w14:textId="77777777" w:rsidR="000A1188" w:rsidRDefault="000A1188" w:rsidP="005C5319">
      <w:pPr>
        <w:spacing w:after="0"/>
        <w:rPr>
          <w:rFonts w:ascii="Cordia New" w:eastAsia="Times New Roman" w:hAnsi="Cordia New" w:cs="Cordia New"/>
          <w:sz w:val="32"/>
          <w:szCs w:val="32"/>
          <w:lang w:val="en-US" w:bidi="th-TH"/>
        </w:rPr>
      </w:pPr>
    </w:p>
    <w:p w14:paraId="61EF71B3" w14:textId="52EC87EC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lastRenderedPageBreak/>
        <w:t>ผลตอบแทนของโครงการ:</w:t>
      </w:r>
    </w:p>
    <w:p w14:paraId="39E9D5F7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ใช้เกณฑ์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Internal Rate of Return (IRR)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Payback Period (PBP)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เป็นหลักในการพิจารณา</w:t>
      </w:r>
    </w:p>
    <w:p w14:paraId="68577F2D" w14:textId="226838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อัตราผลตอบแทนที่คำนวณโดยเจ้าของโครงการอาจสูงหรือต่ำกว่าที่กำหนด</w:t>
      </w:r>
      <w:r w:rsidR="000A1188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 โดย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ฝ่าย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Finance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และ/หรือคณะกรรมการที่เกี่ยวข้องจะเป็นผู้พิจารณาความเหมาะสมของโครงการ</w:t>
      </w:r>
    </w:p>
    <w:p w14:paraId="02459A0C" w14:textId="5FEC1197" w:rsidR="005C5319" w:rsidRPr="002F5316" w:rsidRDefault="005C5319" w:rsidP="00BD39C3">
      <w:pPr>
        <w:rPr>
          <w:rFonts w:ascii="Cordia New" w:hAnsi="Cordia New" w:cs="Cordia New" w:hint="cs"/>
          <w:sz w:val="32"/>
          <w:szCs w:val="32"/>
          <w:lang w:val="en-US" w:bidi="th-TH"/>
        </w:rPr>
      </w:pPr>
    </w:p>
    <w:p w14:paraId="0B267AE7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ตาราง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IRR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ตามประเภทโครงการ:</w:t>
      </w:r>
    </w:p>
    <w:p w14:paraId="5E45A9D6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สำหรับโครงการประเภทที่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2:</w:t>
      </w:r>
    </w:p>
    <w:p w14:paraId="3191603E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รูปแบบ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Big Format: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ต้องมีอัตราผลตอบแทนภายใน (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IRR)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ไม่น้อยกว่า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9%</w:t>
      </w:r>
    </w:p>
    <w:p w14:paraId="3125FAC6" w14:textId="3F38BC46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รูปแบบ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Super Market: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ต้องมี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IRR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ไม่น้อยกว่า</w:t>
      </w:r>
      <w:r w:rsidR="000A1188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13%</w:t>
      </w:r>
    </w:p>
    <w:p w14:paraId="19124603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รูปแบบ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Mini Super Market: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ต้องมี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IRR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ไม่น้อยกว่า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20%</w:t>
      </w:r>
    </w:p>
    <w:p w14:paraId="6D14B0E3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สำหรับโครงการประเภทที่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3, 4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5: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ต้องมี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IRR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ไม่น้อยกว่า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20%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ไม่ว่ารูปแบบใด</w:t>
      </w:r>
    </w:p>
    <w:p w14:paraId="4DD2DF76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2DD39A65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ตาราง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PBP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ตามประเภทโครงการ:</w:t>
      </w:r>
    </w:p>
    <w:p w14:paraId="29D6D714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สำหรับโครงการประเภทที่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2:</w:t>
      </w:r>
    </w:p>
    <w:p w14:paraId="3205F18F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รูปแบบ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Big Format: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ระยะเวลาคืนทุน (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Payback Period: PBP)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11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ปี</w:t>
      </w:r>
    </w:p>
    <w:p w14:paraId="2910C5E1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รูปแบบ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Super Market: PBP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7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ปี</w:t>
      </w:r>
    </w:p>
    <w:p w14:paraId="038414CB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รูปแบบ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Mini Super Market: PBP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4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ปี</w:t>
      </w:r>
    </w:p>
    <w:p w14:paraId="7D1E713B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สำหรับโครงการประเภทที่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3, 4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5: PBP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4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ปี ไม่ว่ารูปแบบใด</w:t>
      </w:r>
    </w:p>
    <w:p w14:paraId="13EADB33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33E7E342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แนวทางการประเมินโครงการหลังเริ่มใช้งานจริง (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Postnatal Review):</w:t>
      </w:r>
    </w:p>
    <w:p w14:paraId="62062980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เจ้าของโครงการต้องติดตาม ควบคุม และสอบทานความก้าวหน้าและความสำเร็จของโครงการให้เป็นไปตามแผนงาน</w:t>
      </w:r>
    </w:p>
    <w:p w14:paraId="2172FB21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เมื่อโครงการเสร็จสิ้นและได้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Implement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แล้ว ให้ดำเนินการดังนี้:</w:t>
      </w:r>
    </w:p>
    <w:p w14:paraId="5318DC7B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หากมีการจัดทำ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Investment Proposal: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หน่วยงาน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Investment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ต้องประเมินโครงการอย่างน้อยหนึ่งครั้งภายใน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ปีหลังจาก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Implement</w:t>
      </w:r>
    </w:p>
    <w:p w14:paraId="7BCF3D10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สำหรับโครงการประเภทที่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1: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ต้องประเมินต่อเนื่องทุกปีเป็นเวลา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3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ปี เพื่อเปรียบเทียบผลตอบแทนกับที่ขออนุมัติไว้</w:t>
      </w:r>
    </w:p>
    <w:p w14:paraId="58667B9B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หากโครงการต้องประเมินมากกว่า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3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ปี: หน่วยงาน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Investment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และเจ้าของโครงการจะตกลงร่วมกัน</w:t>
      </w:r>
    </w:p>
    <w:p w14:paraId="6EA0DF9E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ผลการประเมินจะถูกนำเสนอให้กับคณะกรรมการที่เกี่ยวข้อง เช่น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WMC, RIC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หรือ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IT&amp;DC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เพื่อพิจารณา</w:t>
      </w:r>
    </w:p>
    <w:p w14:paraId="2CAFA956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6A00024F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lastRenderedPageBreak/>
        <w:t>วิธีการปฏิบัติงานของธุรกิจค้าส่งเมื่อเริ่มโครงการ:</w:t>
      </w:r>
    </w:p>
    <w:p w14:paraId="1D658823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5B246EB8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1.1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การลงทุนในโครงการขนาดเล็กประเภทที่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2, 3, 4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ที่มูลค่าไม่เกิน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500,000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บาท:</w:t>
      </w:r>
    </w:p>
    <w:p w14:paraId="1FB8780A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เจ้าของโครงการจัดทำเอกสารขอซื้อ (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Purchase Requisition)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และใบสั่งซื้อ (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Purchase Order)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ตามระเบียบ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NTP004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NTP005</w:t>
      </w:r>
    </w:p>
    <w:p w14:paraId="02E1E064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การอนุมัติค่าใช้จ่ายเป็นไปตามระเบียบ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2E6A1E1E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38122ACF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1.2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การลงทุนในโครงการประเภทที่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1, 2, 3, 4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ที่มูลค่ามากกว่า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500,000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บาท แต่ไม่เกิน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ล้านบาท:</w:t>
      </w:r>
    </w:p>
    <w:p w14:paraId="2C0123BD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เจ้าของโครงการจัดทำเอกสาร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ROI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และเสนอให้ผู้มีอำนาจอนุมัติพิจารณาตามระเบียบ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42C4C9A6" w14:textId="11D24A8F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สำหรับโครงการประเภทที่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4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ที่เป็นรูปแบบ </w:t>
      </w:r>
      <w:proofErr w:type="spellStart"/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XaaS</w:t>
      </w:r>
      <w:proofErr w:type="spellEnd"/>
      <w:r w:rsidR="00D20490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 </w:t>
      </w:r>
      <w:r w:rsidR="00D20490">
        <w:rPr>
          <w:rFonts w:ascii="Cordia New" w:eastAsia="Times New Roman" w:hAnsi="Cordia New" w:cs="Cordia New"/>
          <w:sz w:val="32"/>
          <w:szCs w:val="32"/>
          <w:lang w:val="en-US" w:bidi="th-TH"/>
        </w:rPr>
        <w:t>(</w:t>
      </w:r>
      <w:proofErr w:type="spellStart"/>
      <w:r w:rsidR="00D20490">
        <w:rPr>
          <w:rFonts w:ascii="Cordia New" w:eastAsia="Times New Roman" w:hAnsi="Cordia New" w:cs="Cordia New"/>
          <w:sz w:val="32"/>
          <w:szCs w:val="32"/>
          <w:lang w:val="en-US" w:bidi="th-TH"/>
        </w:rPr>
        <w:t>Abything</w:t>
      </w:r>
      <w:proofErr w:type="spellEnd"/>
      <w:r w:rsidR="00D20490">
        <w:rPr>
          <w:rFonts w:ascii="Cordia New" w:eastAsia="Times New Roman" w:hAnsi="Cordia New" w:cs="Cordia New"/>
          <w:sz w:val="32"/>
          <w:szCs w:val="32"/>
          <w:lang w:val="en-US" w:bidi="th-TH"/>
        </w:rPr>
        <w:t xml:space="preserve"> as a service)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หรือ</w:t>
      </w:r>
      <w:r w:rsidR="00D20490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รูปแบบ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สมาชิก หากค่าใช้จ่ายรวมเกิน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ล้านบาทใน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3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ปี ต้องจัดทำ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ROI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และผ่านการสอบทานจากหน่วยงาน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Technology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โดยผู้มีอำนาจอนุมัติให้เป็นไปตามระเบียบ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1278C3CB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ROI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ที่ได้รับอนุมัติแล้วต้องนำส่งให้หน่วยงาน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FP&amp;A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พิจารณาอนุมัติตามระเบียบ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3DFBF818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เมื่อได้รับอนุมัติจาก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FP&amp;A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แล้ว เจ้าของโครงการจัดทำใบสั่งซื้อ ตามระเบียบ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NTP004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NTP005</w:t>
      </w:r>
    </w:p>
    <w:p w14:paraId="06699726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การอนุมัติค่าใช้จ่ายเป็นไปตามระเบียบ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7E6BC896" w14:textId="024403AE" w:rsidR="005C5319" w:rsidRPr="002F5316" w:rsidRDefault="005C5319" w:rsidP="00BD39C3">
      <w:pPr>
        <w:rPr>
          <w:rFonts w:ascii="Cordia New" w:hAnsi="Cordia New" w:cs="Cordia New" w:hint="cs"/>
          <w:sz w:val="32"/>
          <w:szCs w:val="32"/>
          <w:lang w:val="en-US" w:bidi="th-TH"/>
        </w:rPr>
      </w:pPr>
    </w:p>
    <w:p w14:paraId="5D53FD21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การลงทุนในโครงการที่มีผลกระทบต่อโครงสร้างค่าใช้จ่ายหรือมีภาระผูกพันทางจริยธรรม (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Moral Obligation):</w:t>
      </w:r>
    </w:p>
    <w:p w14:paraId="7A22CD8D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24349003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สำหรับโครงการประเภทที่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1, 2, 3, 4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ที่มีมูลค่าไม่เกิน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ล้านบาท แต่มีลักษณะดังต่อไปนี้:</w:t>
      </w:r>
    </w:p>
    <w:p w14:paraId="0F858B40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ส่งผลให้ต้องมีการเปลี่ยนแปลงโครงสร้างค่าใช้จ่ายของบริษัท</w:t>
      </w:r>
    </w:p>
    <w:p w14:paraId="113BC6A8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เพิ่มค่าใช้จ่ายในการดำเนินธุรกิจอย่างมีนัยสำคัญ</w:t>
      </w:r>
    </w:p>
    <w:p w14:paraId="3D40DB8C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เมื่อตัดสินใจลงทุนแล้ว ไม่สามารถหยุดหรือยกเลิกโครงการได้ (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Moral Obligation)</w:t>
      </w:r>
    </w:p>
    <w:p w14:paraId="7C334C64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5706A3EB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ต้องดำเนินการดังนี้:</w:t>
      </w:r>
    </w:p>
    <w:p w14:paraId="34CB577F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ต้องได้รับการพิจารณาอนุมัติโครงการจาก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Chief Financial Officer (CFO)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ก่อน</w:t>
      </w:r>
    </w:p>
    <w:p w14:paraId="77E876E7" w14:textId="6FA24A9A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เจ้าของโครงการต้องจัดทำ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Investment Proposal (IP)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และนำเสนอต่อผู้มีอำนาจอนุมัติตาม</w:t>
      </w:r>
      <w:r w:rsidR="002625A7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เงื่อนไข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ของธุรกิจค้าส่ง</w:t>
      </w:r>
    </w:p>
    <w:p w14:paraId="2C267EF8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3.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เมื่อ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IP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ได้รับอนุมัติแล้ว ให้จัดทำใบสั่งซื้อ (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Purchase Order)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ตามระเบียบ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NTP004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NTP005</w:t>
      </w:r>
    </w:p>
    <w:p w14:paraId="5BE1BE18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4.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การอนุมัติค่าใช้จ่ายให้เป็นไปตามระเบียบ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7E467BED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710D31CC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lastRenderedPageBreak/>
        <w:t xml:space="preserve">การลงทุนในโครงการที่มีมูลค่าเกิน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20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ล้านบาท:</w:t>
      </w:r>
    </w:p>
    <w:p w14:paraId="223C654F" w14:textId="46F7B32D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เจ้าของโครงการต้องจัดทำ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Investment Proposal (IP)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และนำเสนอต่อผู้มีอำนาจอนุมัติตา</w:t>
      </w:r>
      <w:r w:rsidR="002625A7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มเงื่อนไข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ของธุรกิจค้าส่ง</w:t>
      </w:r>
    </w:p>
    <w:p w14:paraId="02074778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เมื่อ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IP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ได้รับอนุมัติแล้ว ให้จัดทำเอกสารขอซื้อ (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PR)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และใบสั่งซื้อ (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PO)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ตามระเบียบ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NTP004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NTP005</w:t>
      </w:r>
    </w:p>
    <w:p w14:paraId="6C4D69CF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การอนุมัติค่าใช้จ่ายให้เป็นไปตามระเบียบ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70E11246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058703BD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หลักฐานการอนุมัติและการจัดเก็บเอกสาร:</w:t>
      </w:r>
    </w:p>
    <w:p w14:paraId="27A72A53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530F82A0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ROI:</w:t>
      </w:r>
    </w:p>
    <w:p w14:paraId="1513111D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ผู้มีอำนาจอนุมัติสามารถอนุมัติได้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วิธี:</w:t>
      </w:r>
    </w:p>
    <w:p w14:paraId="178448F9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ลงนามบนเอกสารโดยตรง</w:t>
      </w:r>
    </w:p>
    <w:p w14:paraId="48F03E37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อนุมัติผ่านทางอีเมล</w:t>
      </w:r>
    </w:p>
    <w:p w14:paraId="438FA1F1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ในกรณีลงนามบนเอกสาร: หน่วยงาน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FP&amp;A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จะสแกนและจัดเก็บไว้ใน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shared drive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และส่งสำเนาให้เจ้าของโครงการเก็บไว้เพื่อใช้ประกอบการเบิกจ่าย</w:t>
      </w:r>
    </w:p>
    <w:p w14:paraId="78446BD8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ในกรณีอนุมัติผ่านอีเมล: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FP&amp;A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จะแนบอีเมลอนุมัติรวมกับเอกสาร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ROI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และจัดเก็บไว้ใน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shared drive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พร้อมส่งให้เจ้าของโครงการเช่นกัน</w:t>
      </w:r>
    </w:p>
    <w:p w14:paraId="73EA40BE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7CC29BDA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2.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IP:</w:t>
      </w:r>
    </w:p>
    <w:p w14:paraId="50E1EA83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หลักฐานการอนุมัติคือ รายงานการประชุมของคณะกรรมการที่เกี่ยวข้อง (เช่น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WMC, RIC, IT&amp;DC)</w:t>
      </w:r>
    </w:p>
    <w:p w14:paraId="05EE8839" w14:textId="77777777" w:rsidR="005C5319" w:rsidRPr="005C5319" w:rsidRDefault="005C5319" w:rsidP="005C531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หน่วยงาน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Investment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จะจัดเก็บรายงานการประชุมรวมกับ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IP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ไว้ใน </w:t>
      </w:r>
      <w:r w:rsidRPr="005C531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shared drive </w:t>
      </w:r>
      <w:r w:rsidRPr="005C531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และส่งให้เจ้าของโครงการเก็บไว้เพื่อใช้ประกอบการเบิกจ่าย</w:t>
      </w:r>
    </w:p>
    <w:p w14:paraId="064DD227" w14:textId="2A6ABBF3" w:rsidR="005C5319" w:rsidRPr="002F5316" w:rsidRDefault="005C5319" w:rsidP="00BD39C3">
      <w:pPr>
        <w:rPr>
          <w:rFonts w:ascii="Cordia New" w:hAnsi="Cordia New" w:cs="Cordia New" w:hint="cs"/>
          <w:sz w:val="32"/>
          <w:szCs w:val="32"/>
          <w:lang w:val="en-US" w:bidi="th-TH"/>
        </w:rPr>
      </w:pPr>
    </w:p>
    <w:p w14:paraId="47F77A3E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วิธีปฏิบัติงานของโครงการที่แตกต่างจากโครงการที่ขออนุมัติงบประมาณ</w:t>
      </w:r>
    </w:p>
    <w:p w14:paraId="7C197A55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7876F89A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กรณีที่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1: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โครงการแตกต่างจากที่ขออนุมัติงบประมาณไว้เดิม แต่ค่าใช้จ่ายไม่เกินงบประมาณเดิม</w:t>
      </w:r>
    </w:p>
    <w:p w14:paraId="072C112D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ต้องขออนุมัติโครงการใหม่ โดยมีแนวทางดังนี้:</w:t>
      </w:r>
    </w:p>
    <w:p w14:paraId="409BAE1C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หากวงเงินไม่เกิน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500,000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บาท: เจ้าของโครงการต้องจัดทำ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Memo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เสนอให้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Senior Manager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หรือ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Area Manager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ขึ้นไปพิจารณาอนุมัติ ตามระเบียบ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2F733BF1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หากวงเงินเกิน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500,000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บาท: ต้องจัดทำ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ROI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หรือ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IP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ใหม่ และได้รับการอนุมัติจากผู้มีอำนาจตามตารางที่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1</w:t>
      </w:r>
    </w:p>
    <w:p w14:paraId="72CF693C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lastRenderedPageBreak/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เมื่อได้รับอนุมัติแล้ว: เจ้าของโครงการต้องจัดทำ “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Capital Expenditure Budget Transfer Form”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เพื่อโอนงบประมาณจากโครงการเดิมมายังโครงการใหม่ โดยงบประมาณใหม่ต้องไม่เกินงบเดิม</w:t>
      </w:r>
    </w:p>
    <w:p w14:paraId="1A051717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ผู้มีอำนาจอนุมัติแบบฟอร์มการโอนงบประมาณต้องเป็นไปตามระเบียบ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50537D3C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เมื่อ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ROI/IP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และแบบฟอร์มการโอนงบประมาณได้รับอนุมัติแล้ว ให้นำส่งหน่วยงาน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Finance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เพื่อดำเนินการโยกงบประมาณ</w:t>
      </w:r>
    </w:p>
    <w:p w14:paraId="2DF84343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Finance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จะแจ้งเจ้าของโครงการเมื่อการโยกงบประมาณเสร็จสิ้น</w:t>
      </w:r>
    </w:p>
    <w:p w14:paraId="28391A5D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31B51E07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กรณีที่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2: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โครงการเกินงบประมาณเดิม แต่สามารถโอนงบจากโครงการอื่นได้</w:t>
      </w:r>
    </w:p>
    <w:p w14:paraId="0C4DCDE2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ต้องพิจารณาจากมูลค่าการลงทุนใหม่ทั้งหมด:</w:t>
      </w:r>
    </w:p>
    <w:p w14:paraId="1FE01AB0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หากไม่เกิน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500,000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บาท: เจ้าของโครงการระดับ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Senior Manager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ขึ้นไปสามารถอนุมัติได้ตามระเบียบ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736CA5A1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หากเกิน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500,000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บาท: ต้องจัดทำ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ROI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หรือ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IP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ใหม่ และได้รับการอนุมัติจากผู้มีอำนาจตามตารางที่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1</w:t>
      </w:r>
    </w:p>
    <w:p w14:paraId="2A1B0D92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เมื่องบประมาณใหม่ได้รับอนุมัติ:</w:t>
      </w:r>
    </w:p>
    <w:p w14:paraId="6AE46C15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เจ้าของโครงการจัดทำ “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Capital Expenditure Budget Transfer Form”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เพื่อโอนงบจากโครงการอื่น</w:t>
      </w:r>
    </w:p>
    <w:p w14:paraId="58135DDC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หากเป็นการโอนระหว่างหน่วยงาน: ผู้มีอำนาจของทั้งหน่วยงานต้นทางและปลายทางต้องลงนามร่วมกัน</w:t>
      </w:r>
    </w:p>
    <w:p w14:paraId="7A04A10D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เมื่อเอกสารได้รับอนุมัติแล้ว ให้นำส่ง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Finance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เพื่อดำเนินการโยกงบ</w:t>
      </w:r>
    </w:p>
    <w:p w14:paraId="1EA371A7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Finance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จะแจ้งเจ้าของโครงการเมื่อการโยกงบเสร็จสิ้น</w:t>
      </w:r>
    </w:p>
    <w:p w14:paraId="7F4BC5F1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18F5AA2F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กรณีที่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3: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โครงการไม่มีงบประมาณไว้ หรือเกินงบเดิม และไม่สามารถโอนงบจากโครงการอื่นได้</w:t>
      </w:r>
    </w:p>
    <w:p w14:paraId="238E9BD3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ให้ปฏิบัติตามขั้นตอนในกรณีที่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และเพิ่มเติมดังนี้:</w:t>
      </w:r>
    </w:p>
    <w:p w14:paraId="30FCC3D2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เมื่อ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ROI/IP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และแบบฟอร์มการโอนงบประมาณได้รับอนุมัติแล้ว ให้นำส่ง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Finance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เพื่อพิจารณาหางบประมาณให้ตรงกับความต้องการ</w:t>
      </w:r>
    </w:p>
    <w:p w14:paraId="6BF124C8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หาก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Finance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พบว่าสามารถโยกงบจากหน่วยงานอื่นได้: จะแจ้งเจ้าของงบประมาณให้ลงนามร่วมในแบบฟอร์ม</w:t>
      </w:r>
    </w:p>
    <w:p w14:paraId="1D1CF02A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หากไม่สามารถหาแหล่งงบประมาณได้: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Finance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จะแจ้งเจ้าของโครงการให้พิจารณาทำโครงการในปีถัดไป</w:t>
      </w:r>
    </w:p>
    <w:p w14:paraId="7A36371F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เมื่องบประมาณได้รับการอนุมัติแล้ว: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Finance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จะแจ้งเจ้าของโครงการเพื่อเริ่มดำเนินงาน</w:t>
      </w:r>
    </w:p>
    <w:p w14:paraId="5BB91CA3" w14:textId="0E06449B" w:rsidR="005C5319" w:rsidRPr="002F5316" w:rsidRDefault="005C5319" w:rsidP="00BD39C3">
      <w:pPr>
        <w:rPr>
          <w:rFonts w:ascii="Cordia New" w:hAnsi="Cordia New" w:cs="Cordia New" w:hint="cs"/>
          <w:sz w:val="32"/>
          <w:szCs w:val="32"/>
          <w:lang w:val="en-US" w:bidi="th-TH"/>
        </w:rPr>
      </w:pPr>
    </w:p>
    <w:p w14:paraId="45A8F58A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วิธีการปฏิบัติงานของธุรกิจค้าปลีก</w:t>
      </w:r>
    </w:p>
    <w:p w14:paraId="7DE07BB5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27F6C105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1.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วิธีปฏิบัติงานเมื่อเริ่มทำโครงการ</w:t>
      </w:r>
    </w:p>
    <w:p w14:paraId="4057B6CE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000CDC73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1.1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การขออนุมัติใช้งบประมาณเพื่อลงทุนโครงการ:</w:t>
      </w:r>
    </w:p>
    <w:p w14:paraId="0871D291" w14:textId="7DA39AB9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เอกสาร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ROI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หรือ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IP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ต้องได้รับการตรวจสอบและอนุมัติโดยผู้มีอำนาจตาม</w:t>
      </w:r>
      <w:r w:rsidR="000B4430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เงื่อนไข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อำนาจอนุมัติของธุรกิจค้าปลีก</w:t>
      </w:r>
    </w:p>
    <w:p w14:paraId="11A7AD4B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สำหรับโครงการประเภท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non-property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และ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Property – Mall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ต้องผ่านการตรวจสอบจากฝ่ายบัญชี โดยเฉพาะ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Senior Manager – Accounting General Ledger &amp; Fixed Assets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เพื่อให้แน่ใจว่ารายการใช้จ่ายสามารถบันทึกเป็นสินทรัพย์ตามมาตรฐานบัญชี</w:t>
      </w:r>
    </w:p>
    <w:p w14:paraId="68AFC23F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การตรวจสอบนี้สามารถทำได้ก่อนหรือหลังการนำเสนอ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ROI/IP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หากมีการกำหนดรายการสินทรัพย์ในภายหลัง</w:t>
      </w:r>
    </w:p>
    <w:p w14:paraId="39BBD4C8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75DEC183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1.2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การขอเปิดโครงการผ่านระบบ (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Project number requesting process):</w:t>
      </w:r>
    </w:p>
    <w:p w14:paraId="7DB2BC04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หลังจากโครงการได้รับอนุมัติ เจ้าของโครงการต้องขอเปิดโครงการผ่านระบบ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Oracle ERP – Project module</w:t>
      </w:r>
    </w:p>
    <w:p w14:paraId="4CE3E85A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ต้องแนบเอกสาร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ROI, IP (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ถ้ามี)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,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รายงานการประชุม หรืออีเมลอนุมัติจากผู้มีอำนาจ</w:t>
      </w:r>
    </w:p>
    <w:p w14:paraId="5E55AB1F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หน่วยงาน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Finance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ตรวจสอบเอกสารและอนุมัติการเปิดโครงการ</w:t>
      </w:r>
    </w:p>
    <w:p w14:paraId="1792A9B8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ระบบจะสร้างเลขที่โครงการอัตโนมัติ และแจ้งเตือนหน่วยงาน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Accounting</w:t>
      </w:r>
    </w:p>
    <w:p w14:paraId="7085A912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หน่วยงาน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Accounting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จะสร้าง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Project Code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ในระบบ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COA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ผ่าน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Oracle ERP – GL Module</w:t>
      </w:r>
    </w:p>
    <w:p w14:paraId="52B3FE57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เจ้าของโครงการสามารถเริ่มสร้างใบขอซื้อ (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PR)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หรือใบสั่งซื้อ (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PO)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ได้</w:t>
      </w:r>
    </w:p>
    <w:p w14:paraId="5E313189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20463E1F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1.3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การติดตามและตรวจสอบโครงการ (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Project tracking and monitoring):</w:t>
      </w:r>
    </w:p>
    <w:p w14:paraId="41C9ED93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เจ้าของโครงการต้องอัปเดตสถานะโครงการ (กำลังดำเนินการ หรือ เสร็จสิ้น) ผ่านระบบ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Oracle ERP – Project module</w:t>
      </w:r>
    </w:p>
    <w:p w14:paraId="7AABF0B9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เมื่อโครงการเสร็จสิ้น หน่วยงาน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Finance – CAPEX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จะยืนยันสถานะและเริ่มคำนวณค่าเสื่อมราคาสำหรับโครงการที่เป็น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CAPEX</w:t>
      </w:r>
    </w:p>
    <w:p w14:paraId="313EDE9F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เจ้าของโครงการต้องเคลียร์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PO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ทั้งหมดภายใน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3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เดือนหลังจากโครงการเสร็จสิ้น และยืนยันการเสร็จสิ้นกับ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Finance – CAPEX</w:t>
      </w:r>
    </w:p>
    <w:p w14:paraId="53EF4583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Finance – CAPEX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จะดำเนินการปิดโครงการในระบบ และแจ้งเจ้าของโครงการและหน่วยงาน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Accounting</w:t>
      </w:r>
    </w:p>
    <w:p w14:paraId="1D4AA4EF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53A61F58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2.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วิธีปฏิบัติงานของโครงการที่แตกต่างจากโครงการที่ขออนุมัติงบประมาณ:</w:t>
      </w:r>
    </w:p>
    <w:p w14:paraId="270D477D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437C5C0E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2.1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เจ้าของโครงการต้องแจ้ง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Business Analyst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เพื่อแก้ไข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ROI/IP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ตามงบประมาณใหม่ และขออนุมัติจากผู้มีอำนาจ</w:t>
      </w:r>
    </w:p>
    <w:p w14:paraId="14E4502B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15E43540" w14:textId="015E9C0C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lastRenderedPageBreak/>
        <w:t xml:space="preserve">2.1.1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หากโครงการยังไม่ใกล้</w:t>
      </w:r>
      <w:r w:rsidR="00E521A5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แล้ว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เสร็จ</w:t>
      </w:r>
      <w:r w:rsidR="00E521A5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 (ไม่เสร็จ)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:</w:t>
      </w:r>
    </w:p>
    <w:p w14:paraId="6EDB917E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พิจารณาจากมูลค่าการลงทุนรวมใหม่:</w:t>
      </w:r>
    </w:p>
    <w:p w14:paraId="78698648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ถ้าไม่เกิน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เจ้าของโครงการสามารถอนุมัติได้ตามลำดับอำนาจใน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03516D93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ถ้าเกิน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ต้องได้รับอนุมัติจากผู้มีอำนาจตามตารางที่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2</w:t>
      </w:r>
    </w:p>
    <w:p w14:paraId="65E545CA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2.1.2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หากโครงการใกล้เสร็จ:</w:t>
      </w:r>
    </w:p>
    <w:p w14:paraId="27B348BA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พิจารณาจากมูลค่าส่วนเพิ่มจากงบประมาณเดิม:</w:t>
      </w:r>
    </w:p>
    <w:p w14:paraId="23F9D918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ถ้าไม่เกิน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เจ้าของโครงการสามารถอนุมัติได้ตามลำดับอำนาจใน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CPAX-FN-001</w:t>
      </w:r>
    </w:p>
    <w:p w14:paraId="430A392C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  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ถ้าเกิน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5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ล้านบาท: ต้องได้รับอนุมัติจากผู้มีอำนาจตามตารางที่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>2</w:t>
      </w:r>
    </w:p>
    <w:p w14:paraId="7A402373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</w:p>
    <w:p w14:paraId="099CE426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3.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เมื่องบประมาณใหม่ได้รับอนุมัติ:</w:t>
      </w:r>
    </w:p>
    <w:p w14:paraId="62E93289" w14:textId="77777777" w:rsidR="00685269" w:rsidRPr="00685269" w:rsidRDefault="00685269" w:rsidP="00685269">
      <w:pPr>
        <w:spacing w:after="0"/>
        <w:rPr>
          <w:rFonts w:ascii="Cordia New" w:eastAsia="Times New Roman" w:hAnsi="Cordia New" w:cs="Cordia New" w:hint="cs"/>
          <w:sz w:val="32"/>
          <w:szCs w:val="32"/>
          <w:lang w:val="en-US" w:bidi="th-TH"/>
        </w:rPr>
      </w:pP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-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 xml:space="preserve">หน่วยงาน </w:t>
      </w:r>
      <w:r w:rsidRPr="00685269">
        <w:rPr>
          <w:rFonts w:ascii="Cordia New" w:eastAsia="Times New Roman" w:hAnsi="Cordia New" w:cs="Cordia New" w:hint="cs"/>
          <w:sz w:val="32"/>
          <w:szCs w:val="32"/>
          <w:lang w:val="en-US" w:bidi="th-TH"/>
        </w:rPr>
        <w:t xml:space="preserve">Finance </w:t>
      </w:r>
      <w:r w:rsidRPr="00685269">
        <w:rPr>
          <w:rFonts w:ascii="Cordia New" w:eastAsia="Times New Roman" w:hAnsi="Cordia New" w:cs="Cordia New" w:hint="cs"/>
          <w:sz w:val="32"/>
          <w:szCs w:val="32"/>
          <w:cs/>
          <w:lang w:val="en-US" w:bidi="th-TH"/>
        </w:rPr>
        <w:t>จะอนุมัติการแก้ไขตัวเลขงบประมาณในระบบให้กับเจ้าของโครงการ</w:t>
      </w:r>
    </w:p>
    <w:p w14:paraId="218299C5" w14:textId="77777777" w:rsidR="00685269" w:rsidRPr="002F5316" w:rsidRDefault="00685269" w:rsidP="00BD39C3">
      <w:pPr>
        <w:rPr>
          <w:rFonts w:ascii="Cordia New" w:hAnsi="Cordia New" w:cs="Cordia New" w:hint="cs"/>
          <w:sz w:val="32"/>
          <w:szCs w:val="32"/>
          <w:lang w:val="en-US" w:bidi="th-TH"/>
        </w:rPr>
      </w:pPr>
    </w:p>
    <w:sectPr w:rsidR="00685269" w:rsidRPr="002F5316" w:rsidSect="00CF7E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EF617" w14:textId="77777777" w:rsidR="00301D9B" w:rsidRDefault="00301D9B" w:rsidP="007B61C8">
      <w:r>
        <w:separator/>
      </w:r>
    </w:p>
  </w:endnote>
  <w:endnote w:type="continuationSeparator" w:id="0">
    <w:p w14:paraId="6595A4EB" w14:textId="77777777" w:rsidR="00301D9B" w:rsidRDefault="00301D9B" w:rsidP="007B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tuss Smart HL">
    <w:panose1 w:val="02000000000000000000"/>
    <w:charset w:val="00"/>
    <w:family w:val="auto"/>
    <w:pitch w:val="variable"/>
    <w:sig w:usb0="0100000F" w:usb1="00000000" w:usb2="00000000" w:usb3="00000000" w:csb0="0001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ESCO Modern">
    <w:altName w:val="Franklin Gothic Medium Cond"/>
    <w:charset w:val="00"/>
    <w:family w:val="auto"/>
    <w:pitch w:val="variable"/>
    <w:sig w:usb0="0000020F" w:usb1="00000000" w:usb2="00000000" w:usb3="00000000" w:csb0="00000097" w:csb1="00000000"/>
  </w:font>
  <w:font w:name="Tesco">
    <w:altName w:val="Trebuchet MS"/>
    <w:charset w:val="00"/>
    <w:family w:val="swiss"/>
    <w:pitch w:val="variable"/>
    <w:sig w:usb0="800000AF" w:usb1="4000204A" w:usb2="00000000" w:usb3="00000000" w:csb0="000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A163F" w14:textId="77777777" w:rsidR="00007D30" w:rsidRDefault="00007D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2335E" w14:textId="77777777" w:rsidR="00B764D3" w:rsidRDefault="00007D30" w:rsidP="00007D30">
    <w:pPr>
      <w:pStyle w:val="Footer"/>
      <w:tabs>
        <w:tab w:val="center" w:pos="4737"/>
        <w:tab w:val="left" w:pos="8790"/>
      </w:tabs>
    </w:pPr>
    <w:r w:rsidRPr="00B764D3">
      <w:rPr>
        <w:noProof/>
      </w:rPr>
      <w:drawing>
        <wp:anchor distT="0" distB="0" distL="114300" distR="114300" simplePos="0" relativeHeight="251659264" behindDoc="1" locked="0" layoutInCell="1" allowOverlap="1" wp14:anchorId="6AC61E63" wp14:editId="4D88AF34">
          <wp:simplePos x="0" y="0"/>
          <wp:positionH relativeFrom="margin">
            <wp:posOffset>5091160</wp:posOffset>
          </wp:positionH>
          <wp:positionV relativeFrom="paragraph">
            <wp:posOffset>10059</wp:posOffset>
          </wp:positionV>
          <wp:extent cx="965200" cy="290535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29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sdt>
      <w:sdtPr>
        <w:id w:val="-21120404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764D3">
          <w:fldChar w:fldCharType="begin"/>
        </w:r>
        <w:r w:rsidR="00B764D3">
          <w:instrText xml:space="preserve"> PAGE   \* MERGEFORMAT </w:instrText>
        </w:r>
        <w:r w:rsidR="00B764D3">
          <w:fldChar w:fldCharType="separate"/>
        </w:r>
        <w:r w:rsidR="00B764D3">
          <w:rPr>
            <w:noProof/>
          </w:rPr>
          <w:t>2</w:t>
        </w:r>
        <w:r w:rsidR="00B764D3">
          <w:rPr>
            <w:noProof/>
          </w:rPr>
          <w:fldChar w:fldCharType="end"/>
        </w:r>
      </w:sdtContent>
    </w:sdt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1619" w14:textId="77777777" w:rsidR="00007D30" w:rsidRDefault="00007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E6FF8" w14:textId="77777777" w:rsidR="00301D9B" w:rsidRDefault="00301D9B" w:rsidP="007B61C8">
      <w:r>
        <w:separator/>
      </w:r>
    </w:p>
  </w:footnote>
  <w:footnote w:type="continuationSeparator" w:id="0">
    <w:p w14:paraId="313BD026" w14:textId="77777777" w:rsidR="00301D9B" w:rsidRDefault="00301D9B" w:rsidP="007B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9E19A" w14:textId="77777777" w:rsidR="00007D30" w:rsidRDefault="00007D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8932" w14:textId="77777777" w:rsidR="00007D30" w:rsidRDefault="00007D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AE47" w14:textId="77777777" w:rsidR="00007D30" w:rsidRDefault="00007D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12929"/>
    <w:multiLevelType w:val="hybridMultilevel"/>
    <w:tmpl w:val="85163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19"/>
    <w:rsid w:val="00007D30"/>
    <w:rsid w:val="00032466"/>
    <w:rsid w:val="00043941"/>
    <w:rsid w:val="00065BE6"/>
    <w:rsid w:val="000A1188"/>
    <w:rsid w:val="000A218F"/>
    <w:rsid w:val="000B4430"/>
    <w:rsid w:val="001B14C4"/>
    <w:rsid w:val="001F5073"/>
    <w:rsid w:val="00243196"/>
    <w:rsid w:val="0026050B"/>
    <w:rsid w:val="002625A7"/>
    <w:rsid w:val="002A4A05"/>
    <w:rsid w:val="002F5316"/>
    <w:rsid w:val="00301D9B"/>
    <w:rsid w:val="00384DC2"/>
    <w:rsid w:val="003B6B1B"/>
    <w:rsid w:val="00452AE0"/>
    <w:rsid w:val="0057654A"/>
    <w:rsid w:val="005A45B0"/>
    <w:rsid w:val="005C5319"/>
    <w:rsid w:val="00685269"/>
    <w:rsid w:val="007159AE"/>
    <w:rsid w:val="007B61C8"/>
    <w:rsid w:val="007D6DE7"/>
    <w:rsid w:val="00837B5B"/>
    <w:rsid w:val="008B6CD9"/>
    <w:rsid w:val="008C6882"/>
    <w:rsid w:val="00953D7A"/>
    <w:rsid w:val="00963990"/>
    <w:rsid w:val="009B6E50"/>
    <w:rsid w:val="00A30E1D"/>
    <w:rsid w:val="00A752BB"/>
    <w:rsid w:val="00AC43B9"/>
    <w:rsid w:val="00B764D3"/>
    <w:rsid w:val="00BD39C3"/>
    <w:rsid w:val="00CF7E55"/>
    <w:rsid w:val="00D20490"/>
    <w:rsid w:val="00D56D14"/>
    <w:rsid w:val="00E43A5E"/>
    <w:rsid w:val="00E521A5"/>
    <w:rsid w:val="00F07D45"/>
    <w:rsid w:val="00FE3F14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13A4A"/>
  <w15:chartTrackingRefBased/>
  <w15:docId w15:val="{9285971D-1624-47EB-B943-A4206B4A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tuss Smart HL" w:eastAsiaTheme="minorHAnsi" w:hAnsi="Lotuss Smart H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1C8"/>
    <w:pPr>
      <w:spacing w:after="240" w:line="240" w:lineRule="auto"/>
    </w:pPr>
  </w:style>
  <w:style w:type="paragraph" w:styleId="Heading1">
    <w:name w:val="heading 1"/>
    <w:basedOn w:val="Titleonpage"/>
    <w:next w:val="Normal"/>
    <w:link w:val="Heading1Char"/>
    <w:uiPriority w:val="9"/>
    <w:qFormat/>
    <w:rsid w:val="007159AE"/>
    <w:pPr>
      <w:outlineLvl w:val="0"/>
    </w:pPr>
    <w:rPr>
      <w:rFonts w:ascii="TESCO Modern" w:hAnsi="TESCO Moder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B14C4"/>
    <w:pPr>
      <w:spacing w:before="120" w:line="216" w:lineRule="auto"/>
      <w:ind w:left="720"/>
      <w:contextualSpacing/>
    </w:pPr>
  </w:style>
  <w:style w:type="paragraph" w:customStyle="1" w:styleId="MainHeadline">
    <w:name w:val="Main Headline"/>
    <w:basedOn w:val="Normal"/>
    <w:link w:val="MainHeadlineChar"/>
    <w:qFormat/>
    <w:rsid w:val="007B61C8"/>
    <w:pPr>
      <w:spacing w:after="480"/>
    </w:pPr>
    <w:rPr>
      <w:b/>
      <w:bCs/>
      <w:color w:val="00539F"/>
      <w:sz w:val="96"/>
      <w:szCs w:val="96"/>
    </w:rPr>
  </w:style>
  <w:style w:type="paragraph" w:customStyle="1" w:styleId="Secondarycopy">
    <w:name w:val="Secondary copy"/>
    <w:basedOn w:val="Normal"/>
    <w:link w:val="SecondarycopyChar"/>
    <w:qFormat/>
    <w:rsid w:val="007159AE"/>
    <w:rPr>
      <w:b/>
      <w:color w:val="00539F"/>
      <w:sz w:val="72"/>
      <w:szCs w:val="72"/>
    </w:rPr>
  </w:style>
  <w:style w:type="character" w:customStyle="1" w:styleId="MainHeadlineChar">
    <w:name w:val="Main Headline Char"/>
    <w:basedOn w:val="DefaultParagraphFont"/>
    <w:link w:val="MainHeadline"/>
    <w:rsid w:val="007B61C8"/>
    <w:rPr>
      <w:rFonts w:ascii="TESCO Modern" w:hAnsi="TESCO Modern"/>
      <w:b/>
      <w:bCs/>
      <w:color w:val="00539F"/>
      <w:sz w:val="96"/>
      <w:szCs w:val="96"/>
    </w:rPr>
  </w:style>
  <w:style w:type="paragraph" w:customStyle="1" w:styleId="Titleonpage">
    <w:name w:val="Title on page"/>
    <w:basedOn w:val="Normal"/>
    <w:link w:val="TitleonpageChar"/>
    <w:rsid w:val="003B6B1B"/>
    <w:rPr>
      <w:rFonts w:ascii="Tesco" w:hAnsi="Tesco"/>
      <w:b/>
      <w:color w:val="00539F"/>
      <w:sz w:val="48"/>
      <w:szCs w:val="48"/>
    </w:rPr>
  </w:style>
  <w:style w:type="character" w:customStyle="1" w:styleId="SecondarycopyChar">
    <w:name w:val="Secondary copy Char"/>
    <w:basedOn w:val="DefaultParagraphFont"/>
    <w:link w:val="Secondarycopy"/>
    <w:rsid w:val="007159AE"/>
    <w:rPr>
      <w:rFonts w:ascii="TESCO Modern" w:hAnsi="TESCO Modern"/>
      <w:b/>
      <w:color w:val="00539F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TitleonpageChar">
    <w:name w:val="Title on page Char"/>
    <w:basedOn w:val="DefaultParagraphFont"/>
    <w:link w:val="Titleonpage"/>
    <w:rsid w:val="003B6B1B"/>
    <w:rPr>
      <w:rFonts w:ascii="Tesco" w:hAnsi="Tesco"/>
      <w:b/>
      <w:color w:val="00539F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8C6882"/>
  </w:style>
  <w:style w:type="paragraph" w:styleId="Footer">
    <w:name w:val="footer"/>
    <w:basedOn w:val="Normal"/>
    <w:link w:val="Foot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6882"/>
  </w:style>
  <w:style w:type="paragraph" w:customStyle="1" w:styleId="Thankyou">
    <w:name w:val="Thank you."/>
    <w:basedOn w:val="Normal"/>
    <w:link w:val="ThankyouChar"/>
    <w:qFormat/>
    <w:rsid w:val="007159AE"/>
    <w:rPr>
      <w:b/>
      <w:color w:val="00539F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7159AE"/>
    <w:rPr>
      <w:rFonts w:ascii="TESCO Modern" w:hAnsi="TESCO Modern"/>
      <w:b/>
      <w:color w:val="00539F"/>
      <w:sz w:val="48"/>
      <w:szCs w:val="48"/>
    </w:rPr>
  </w:style>
  <w:style w:type="character" w:customStyle="1" w:styleId="ThankyouChar">
    <w:name w:val="Thank you. Char"/>
    <w:basedOn w:val="DefaultParagraphFont"/>
    <w:link w:val="Thankyou"/>
    <w:rsid w:val="007159AE"/>
    <w:rPr>
      <w:rFonts w:ascii="TESCO Modern" w:hAnsi="TESCO Modern"/>
      <w:b/>
      <w:color w:val="00539F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3B6B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6B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B1B"/>
    <w:rPr>
      <w:color w:val="000000" w:themeColor="hyperlink"/>
      <w:u w:val="single"/>
    </w:rPr>
  </w:style>
  <w:style w:type="table" w:styleId="TableGrid">
    <w:name w:val="Table Grid"/>
    <w:basedOn w:val="TableNormal"/>
    <w:uiPriority w:val="39"/>
    <w:rsid w:val="0004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043941"/>
    <w:pPr>
      <w:spacing w:after="0" w:line="240" w:lineRule="auto"/>
    </w:pPr>
    <w:tblPr>
      <w:tblStyleRowBandSize w:val="1"/>
      <w:tblStyleColBandSize w:val="1"/>
      <w:tblBorders>
        <w:top w:val="single" w:sz="4" w:space="0" w:color="00539F" w:themeColor="accent1"/>
        <w:left w:val="single" w:sz="4" w:space="0" w:color="00539F" w:themeColor="accent1"/>
        <w:bottom w:val="single" w:sz="4" w:space="0" w:color="00539F" w:themeColor="accent1"/>
        <w:right w:val="single" w:sz="4" w:space="0" w:color="00539F" w:themeColor="accent1"/>
      </w:tblBorders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 w:themeColor="background1"/>
        <w:sz w:val="24"/>
      </w:rPr>
      <w:tblPr/>
      <w:tcPr>
        <w:shd w:val="clear" w:color="auto" w:fill="00539F" w:themeFill="accent1"/>
      </w:tcPr>
    </w:tblStylePr>
    <w:tblStylePr w:type="lastRow">
      <w:rPr>
        <w:b/>
        <w:bCs/>
      </w:rPr>
      <w:tblPr/>
      <w:tcPr>
        <w:tcBorders>
          <w:top w:val="double" w:sz="4" w:space="0" w:color="00539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39F" w:themeColor="accent1"/>
          <w:right w:val="single" w:sz="4" w:space="0" w:color="00539F" w:themeColor="accent1"/>
        </w:tcBorders>
      </w:tcPr>
    </w:tblStylePr>
    <w:tblStylePr w:type="band1Horz">
      <w:tblPr/>
      <w:tcPr>
        <w:tcBorders>
          <w:top w:val="single" w:sz="4" w:space="0" w:color="00539F" w:themeColor="accent1"/>
          <w:bottom w:val="single" w:sz="4" w:space="0" w:color="00539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39F" w:themeColor="accent1"/>
          <w:left w:val="nil"/>
        </w:tcBorders>
      </w:tcPr>
    </w:tblStylePr>
    <w:tblStylePr w:type="swCell">
      <w:tblPr/>
      <w:tcPr>
        <w:tcBorders>
          <w:top w:val="double" w:sz="4" w:space="0" w:color="00539F" w:themeColor="accent1"/>
          <w:right w:val="nil"/>
        </w:tcBorders>
      </w:tcPr>
    </w:tblStylePr>
  </w:style>
  <w:style w:type="paragraph" w:customStyle="1" w:styleId="Tableheaderrow">
    <w:name w:val="Table header row"/>
    <w:basedOn w:val="Normal"/>
    <w:link w:val="TableheaderrowChar"/>
    <w:rsid w:val="00043941"/>
    <w:rPr>
      <w:b/>
      <w:bCs/>
      <w:color w:val="FFFFFF" w:themeColor="background1"/>
      <w:sz w:val="24"/>
    </w:rPr>
  </w:style>
  <w:style w:type="character" w:customStyle="1" w:styleId="TableheaderrowChar">
    <w:name w:val="Table header row Char"/>
    <w:basedOn w:val="DefaultParagraphFont"/>
    <w:link w:val="Tableheaderrow"/>
    <w:rsid w:val="00043941"/>
    <w:rPr>
      <w:rFonts w:ascii="TESCO Modern" w:hAnsi="TESCO Modern"/>
      <w:b/>
      <w:bCs/>
      <w:color w:val="FFFFFF" w:themeColor="background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sco">
  <a:themeElements>
    <a:clrScheme name="Custom 1">
      <a:dk1>
        <a:sysClr val="windowText" lastClr="000000"/>
      </a:dk1>
      <a:lt1>
        <a:sysClr val="window" lastClr="FFFFFF"/>
      </a:lt1>
      <a:dk2>
        <a:srgbClr val="6E6767"/>
      </a:dk2>
      <a:lt2>
        <a:srgbClr val="FFFFFF"/>
      </a:lt2>
      <a:accent1>
        <a:srgbClr val="00539F"/>
      </a:accent1>
      <a:accent2>
        <a:srgbClr val="FFA626"/>
      </a:accent2>
      <a:accent3>
        <a:srgbClr val="FF7D82"/>
      </a:accent3>
      <a:accent4>
        <a:srgbClr val="00BCD4"/>
      </a:accent4>
      <a:accent5>
        <a:srgbClr val="00BFA6"/>
      </a:accent5>
      <a:accent6>
        <a:srgbClr val="CCBAA1"/>
      </a:accent6>
      <a:hlink>
        <a:srgbClr val="000000"/>
      </a:hlink>
      <a:folHlink>
        <a:srgbClr val="000000"/>
      </a:folHlink>
    </a:clrScheme>
    <a:fontScheme name="Custom 1">
      <a:majorFont>
        <a:latin typeface="Lotuss Smart HL"/>
        <a:ea typeface=""/>
        <a:cs typeface=""/>
      </a:majorFont>
      <a:minorFont>
        <a:latin typeface="Lotuss Smart H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tailEnd type="arrow" w="med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esco" id="{395D74A4-B777-448B-8C65-A590BE8D402C}" vid="{F21F9D6D-3CCD-4C07-B46C-288106F5009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A8AA077C8F14A98047555D1A313BD" ma:contentTypeVersion="2" ma:contentTypeDescription="Create a new document." ma:contentTypeScope="" ma:versionID="079195767ea59c3654b24b8c2c0997c1">
  <xsd:schema xmlns:xsd="http://www.w3.org/2001/XMLSchema" xmlns:xs="http://www.w3.org/2001/XMLSchema" xmlns:p="http://schemas.microsoft.com/office/2006/metadata/properties" xmlns:ns2="72692825-3860-423a-81b1-dfb1de5a0d04" targetNamespace="http://schemas.microsoft.com/office/2006/metadata/properties" ma:root="true" ma:fieldsID="0a2fab748a893967066e4683376b3e6f" ns2:_="">
    <xsd:import namespace="72692825-3860-423a-81b1-dfb1de5a0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92825-3860-423a-81b1-dfb1de5a0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A98DEC-9683-4592-909E-810F04CF2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EBB511-711F-458C-BB22-8027AABE87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099F18-5A99-44CF-81F3-17EE6C678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92825-3860-423a-81b1-dfb1de5a0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550EEB-3FF0-4A0A-9A45-E2229B30C8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2108</Words>
  <Characters>12018</Characters>
  <Application>Microsoft Office Word</Application>
  <DocSecurity>0</DocSecurity>
  <Lines>100</Lines>
  <Paragraphs>28</Paragraphs>
  <ScaleCrop>false</ScaleCrop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Boonyanuch Torrarit</dc:creator>
  <cp:keywords/>
  <dc:description/>
  <cp:lastModifiedBy>Boonyanuch Torrarit</cp:lastModifiedBy>
  <cp:revision>12</cp:revision>
  <dcterms:created xsi:type="dcterms:W3CDTF">2025-06-12T06:08:00Z</dcterms:created>
  <dcterms:modified xsi:type="dcterms:W3CDTF">2025-06-12T06:58:00Z</dcterms:modified>
</cp:coreProperties>
</file>