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กระบวนงาน  ระเบียบการปฏิบัติงานเกี่ยวกับเงินลงทุนโครงการ</w:t>
      </w:r>
    </w:p>
    <w:p>
      <w:r>
        <w:t>วัตถุประสงค์ของวิธีปฏิบัติงาน:</w:t>
      </w:r>
    </w:p>
    <w:p>
      <w:r>
        <w:t>วิธีปฏิบัติงานนี้จัดทำขึ้นเพื่อเป็นแนวทางในการดำเนินงานและการอนุมัติเงินลงทุนในโครงการต่าง ๆ ของบริษัท ซีพี แอ็กซ์ตร้า จำกัด (มหาชน) ซึ่งประกอบด้วย 2 ธุรกิจหลัก ได้แก่ ธุรกิจค้าส่ง และธุรกิจค้าปลีก โดยแบ่งประเภทของโครงการลงทุนออกเป็น 5 ประเภท ดังนี้:</w:t>
      </w:r>
    </w:p>
    <w:p/>
    <w:p>
      <w:r>
        <w:t>ประเภทของโครงการลงทุน:</w:t>
      </w:r>
    </w:p>
    <w:p>
      <w:r>
        <w:t>1. โครงการสร้างสโตร์ใหม่ (New Store Project)</w:t>
      </w:r>
    </w:p>
    <w:p>
      <w:r>
        <w:t>2. โครงการปรับปรุงสโตร์หรือ Mall ที่เปิดอยู่แล้ว (Store Remodeling Project, Refresh, Mall Extension)</w:t>
      </w:r>
    </w:p>
    <w:p>
      <w:r>
        <w:t>3. โครงการทำธุรกิจใหม่หรือโครงการเชิงกลยุทธ์ (New Business Model, New Concept)</w:t>
      </w:r>
    </w:p>
    <w:p>
      <w:r>
        <w:t>4. โครงการด้านเทคโนโลยีและศูนย์กระจายสินค้า รวมถึงโครงการ IT และ XaaS (Anything as a service) หรือ รูปแบบสมาชิก โดยชำระค่าบริการเป็นรายเดือน รายปี หรือแบบใช้งานตามช่วงเวลาที่ต้องการ และเป็นการลงทุนต่อเนื่องภายใน 3 ปี</w:t>
      </w:r>
    </w:p>
    <w:p>
      <w:r>
        <w:t>5. โครงการอื่น ๆ เช่น Facility Management, Energy Saving, การจัดซื้อจัดจ้างใหม่, โครงการของสำนักงานใหญ่, Mall Spa, Food Court</w:t>
      </w:r>
    </w:p>
    <w:p/>
    <w:p>
      <w:r>
        <w:t>แนวทางการปฏิบัติงานแยกตามลักษณะธุรกิจ แบ่งเป็นสองประภทธุรกิจ ซึ่งคือธุรกิจค้าส่งและธุรกิจค้าปลีก</w:t>
      </w:r>
    </w:p>
    <w:p/>
    <w:p>
      <w:r>
        <w:t>แต่ละธุรกิจมีแนวทางปฏิบัติงาน 2 หัวข้อ:</w:t>
      </w:r>
    </w:p>
    <w:p>
      <w:r>
        <w:t>1. วิธีปฏิบัติงานเมื่อเริ่มทำโครงการ</w:t>
      </w:r>
    </w:p>
    <w:p>
      <w:r>
        <w:t>2. วิธีปฏิบัติงานเมื่อโครงการมีความแตกต่างจากที่ได้รับอนุมัติงบประมาณ</w:t>
      </w:r>
    </w:p>
    <w:p/>
    <w:p>
      <w:r>
        <w:t>เอกสารเพื่อขออนุมัติลงทุน:</w:t>
      </w:r>
    </w:p>
    <w:p>
      <w:r>
        <w:t>เมื่อได้รับอนุมัติงบประมาณแล้ว ก่อนดำเนินการลงทุนจริง เจ้าของโครงการต้องจัดทำเอกสารเพื่อขออนุมัติลงทุน โดยต้องได้รับอนุมัติก่อนการสั่งซื้อหรือออกใบขอซื้อ (PR/PO)</w:t>
      </w:r>
    </w:p>
    <w:p/>
    <w:p>
      <w:r>
        <w:t>ธุรกิจค้าส่ง:</w:t>
      </w:r>
    </w:p>
    <w:p>
      <w:r>
        <w:t>- ROI (Return on Investment): สำหรับโครงการมูลค่ามากกว่า 500,000 บาท แต่ไม่เกิน 20 ล้านบาท</w:t>
      </w:r>
    </w:p>
    <w:p>
      <w:r>
        <w:t>- IP (Investment Proposal): สำหรับโครงการมูลค่าเกิน 20 ล้านบาท</w:t>
      </w:r>
    </w:p>
    <w:p/>
    <w:p>
      <w:r>
        <w:t>ธุรกิจค้าปลีก:</w:t>
      </w:r>
    </w:p>
    <w:p>
      <w:r>
        <w:t>- ROI: ต้องจัดทำสำหรับทุกโครงการ</w:t>
      </w:r>
    </w:p>
    <w:p>
      <w:r>
        <w:t>- IP: จัดทำเพิ่มเติมจาก ROI สำหรับโครงการที่ต้องขออนุมัติจาก Retail Investment Committee Thailand</w:t>
      </w:r>
    </w:p>
    <w:p/>
    <w:p>
      <w:r>
        <w:t>ข้อยกเว้น:</w:t>
      </w:r>
    </w:p>
    <w:p>
      <w:r>
        <w:t>ไม่ต้องจัดทำ ROI หรือ IP สำหรับโครงการที่เป็นการเปลี่ยนหรือซ่อมแซมของเดิม เช่น การเปลี่ยนรถ forklift หรือตู้แช่ โดยให้ดำเนินการตามระเบียบอำนาจในการอนุมัติ (CPAX-FN-001, ตารางที่ 1 ตารางอนุมัติของธุรกิจค้าส่งและธุรกิจค้าปลีก)</w:t>
      </w:r>
    </w:p>
    <w:p/>
    <w:p>
      <w:r>
        <w:t>การตั้งชื่อและหมายเลขเอกสาร:</w:t>
      </w:r>
    </w:p>
    <w:p>
      <w:r>
        <w:t>หน่วยงาน FP&amp;A จะเป็นผู้ตั้งชื่อและกำหนดหมายเลขเอกสาร ดังนี้:</w:t>
      </w:r>
    </w:p>
    <w:p/>
    <w:p>
      <w:r>
        <w:t>รูปแบบชื่อเอกสาร ROI:</w:t>
      </w:r>
    </w:p>
    <w:p>
      <w:r>
        <w:t>[ROI] [ปี] – [ลำดับเอกสาร] – [ประเภทโครงการ] – [หน่วยธุรกิจ]</w:t>
      </w:r>
    </w:p>
    <w:p>
      <w:r>
        <w:t>ตัวอย่าง: ROI 2025 – 001 – Type1 – MK</w:t>
      </w:r>
    </w:p>
    <w:p/>
    <w:p>
      <w:r>
        <w:t>รูปแบบชื่อเอกสาร IP:</w:t>
      </w:r>
    </w:p>
    <w:p>
      <w:r>
        <w:t>[Committee] [ปี] – [ลำดับเอกสาร] – [ประเภทโครงการ] – [หน่วยธุรกิจ]</w:t>
      </w:r>
    </w:p>
    <w:p>
      <w:r>
        <w:t>ตัวอย่าง: RIC 2025 – 002 – Type3 – LT</w:t>
      </w:r>
    </w:p>
    <w:p/>
    <w:p>
      <w:r>
        <w:t>คำอธิบายตัวย่อ:</w:t>
      </w:r>
    </w:p>
    <w:p>
      <w:r>
        <w:t>- [Committee]:</w:t>
      </w:r>
    </w:p>
    <w:p>
      <w:r>
        <w:t xml:space="preserve">  - WMC = Wholesale Management Committee</w:t>
      </w:r>
    </w:p>
    <w:p>
      <w:r>
        <w:t xml:space="preserve">  - RIC = Retail Investment Committee Thailand</w:t>
      </w:r>
    </w:p>
    <w:p>
      <w:r>
        <w:t xml:space="preserve">  - ITDC = Committee for Investment Approval in Technology and Distribution Center Investments for CPAxtra</w:t>
      </w:r>
    </w:p>
    <w:p/>
    <w:p>
      <w:r>
        <w:t>- [Project Type]: อ้างอิงจาก 5 ประเภทโครงการที่ระบุไว้ข้างต้น</w:t>
      </w:r>
    </w:p>
    <w:p>
      <w:r>
        <w:t>- [BU] (Business Unit):</w:t>
      </w:r>
    </w:p>
    <w:p>
      <w:r>
        <w:t xml:space="preserve">  - MK = Makro</w:t>
      </w:r>
    </w:p>
    <w:p>
      <w:r>
        <w:t xml:space="preserve">  - LT = Lotus’s</w:t>
      </w:r>
    </w:p>
    <w:p>
      <w:r>
        <w:t xml:space="preserve">  - CPAXT = Makro and Lotus’s</w:t>
      </w:r>
    </w:p>
    <w:p/>
    <w:p>
      <w:r>
        <w:t>ผู้มีอำนาจอนุมัติการลงทุนในโครงการ</w:t>
      </w:r>
    </w:p>
    <w:p/>
    <w:p>
      <w:r>
        <w:t>คำจำกัดความ:</w:t>
      </w:r>
    </w:p>
    <w:p>
      <w:r>
        <w:t>- HOD หมายถึง Head of Department หรือ Function Head ตั้งแต่ระดับ Senior Manager ขึ้นไป</w:t>
      </w:r>
    </w:p>
    <w:p>
      <w:r>
        <w:t>- LOA หมายถึง ระเบียบปฏิบัติเรื่องอำนาจอนุมัติ (Level of Authorization) ตามเอกสาร CPAX-FN-001</w:t>
      </w:r>
    </w:p>
    <w:p>
      <w:r>
        <w:t>- DOA หมายถึง ตารางอำนาจอนุมัติในการบริหารและการดำเนินงาน (Delegation of Authority)</w:t>
      </w:r>
    </w:p>
    <w:p/>
    <w:p>
      <w:r>
        <w:t>แนวทางการอนุมัติการลงทุนในโครงการของธุรกิจค้าส่ง:</w:t>
      </w:r>
    </w:p>
    <w:p>
      <w:r>
        <w:t>- สำหรับโครงการประเภทที่ 1, 2, 3 และ 5:</w:t>
      </w:r>
    </w:p>
    <w:p>
      <w:r>
        <w:t xml:space="preserve">  - วงเงินไม่เกิน 500,000 บาท: HOD ตาม LOA ระเบียบปฏิบัติเรื่องอำนาจอนุมัติ (Level of Authorization) ตามเอกสาร CPAX-FN-001</w:t>
      </w:r>
    </w:p>
    <w:p>
      <w:r>
        <w:t xml:space="preserve">  - วงเงินมากกว่า 500,000 บาทแต่ไม่เกิน 20 ล้านบาท: HOD และฝ่าย Finance ตาม LOA ระเบียบปฏิบัติเรื่องอำนาจอนุมัติ (Level of Authorization) ตามเอกสาร CPAX-FN-001</w:t>
      </w:r>
    </w:p>
    <w:p>
      <w:r>
        <w:t xml:space="preserve">  - วงเงินมากกว่า 20 ล้านบาทแต่ไม่เกิน 200 ล้านบาท: พิจารณาโดย Wholesale Management Committee</w:t>
      </w:r>
    </w:p>
    <w:p>
      <w:r>
        <w:t xml:space="preserve">  - วงเงินมากกว่า 200 ล้านบาท: อ้างอิงตาม DOA</w:t>
      </w:r>
    </w:p>
    <w:p/>
    <w:p>
      <w:r>
        <w:t>- สำหรับโครงการประเภทที่ 4 (เทคโนโลยีและศูนย์กระจายสินค้า):</w:t>
      </w:r>
    </w:p>
    <w:p>
      <w:r>
        <w:t xml:space="preserve">  - วงเงินไม่เกิน 500,000 บาท: HOD ตาม LOA ระเบียบปฏิบัติเรื่องอำนาจอนุมัติ (Level of Authorization) ตามเอกสาร CPAX-FN-001</w:t>
      </w:r>
    </w:p>
    <w:p>
      <w:r>
        <w:t xml:space="preserve">  - วงเงินมากกว่า 500,000 บาทแต่ไม่เกิน 20 ล้านบาท: HOD และฝ่าย Finance ตาม LOA ระเบียบปฏิบัติเรื่องอำนาจอนุมัติ (Level of Authorization) ตามเอกสาร CPAX-FN-001</w:t>
      </w:r>
    </w:p>
    <w:p>
      <w:r>
        <w:t xml:space="preserve">  - วงเงินมากกว่า 20 ล้านบาทแต่ไม่เกิน 200 ล้านบาท: พิจารณาโดย IT &amp; DC Committee</w:t>
      </w:r>
    </w:p>
    <w:p>
      <w:r>
        <w:t xml:space="preserve">  - วงเงินมากกว่า 200 ล้านบาท: อ้างอิงตาม DOA</w:t>
      </w:r>
    </w:p>
    <w:p/>
    <w:p>
      <w:r>
        <w:t>แนวทางการอนุมัติการลงทุนในโครงการของธุรกิจค้าปลีก:</w:t>
      </w:r>
    </w:p>
    <w:p>
      <w:r>
        <w:t>- สำหรับโครงการประเภทที่ 1 และ 2:</w:t>
      </w:r>
    </w:p>
    <w:p>
      <w:r>
        <w:t xml:space="preserve">  - วงเงินไม่เกิน 200 ล้านบาท: พิจารณาโดย Retail Investment Committee Thailand</w:t>
      </w:r>
    </w:p>
    <w:p>
      <w:r>
        <w:t xml:space="preserve">  - วงเงินมากกว่า 200 ล้านบาท: อ้างอิงตาม DOA</w:t>
      </w:r>
    </w:p>
    <w:p/>
    <w:p>
      <w:r>
        <w:t>- สำหรับโครงการประเภทที่ 3 และ 5:</w:t>
      </w:r>
    </w:p>
    <w:p>
      <w:r>
        <w:t xml:space="preserve">  - วงเงินไม่เกิน 5 ล้านบาท: HOD และฝ่าย Finance ตาม LOA ระเบียบปฏิบัติเรื่องอำนาจอนุมัติ (Level of Authorization) ตามเอกสาร CPAX-FN-001</w:t>
      </w:r>
    </w:p>
    <w:p>
      <w:r>
        <w:t xml:space="preserve">  - วงเงินมากกว่า 5 ล้านบาทแต่ไม่เกิน 200 ล้านบาท: พิจารณาโดย Retail Investment Committee Thailand</w:t>
      </w:r>
    </w:p>
    <w:p>
      <w:r>
        <w:t xml:space="preserve">  - วงเงินมากกว่า 200 ล้านบาท: อ้างอิงตาม DOA</w:t>
      </w:r>
    </w:p>
    <w:p/>
    <w:p>
      <w:r>
        <w:t>- สำหรับโครงการประเภทที่ 4:</w:t>
      </w:r>
    </w:p>
    <w:p>
      <w:r>
        <w:t xml:space="preserve">  - วงเงินไม่เกิน 5 ล้านบาท: HOD และฝ่าย Finance ตาม LOA ระเบียบปฏิบัติเรื่องอำนาจอนุมัติ (Level of Authorization) ตามเอกสาร CPAX-FN-001</w:t>
      </w:r>
    </w:p>
    <w:p>
      <w:r>
        <w:t xml:space="preserve">  - วงเงินมากกว่า 5 ล้านบาทแต่ไม่เกิน 20 ล้านบาท: พิจารณาโดย Retail Investment Committee Thailand</w:t>
      </w:r>
    </w:p>
    <w:p>
      <w:r>
        <w:t xml:space="preserve">  - วงเงินมากกว่า 20 ล้านบาทแต่ไม่เกิน 200 ล้านบาท: พิจารณาโดย IT &amp; DC Committee</w:t>
      </w:r>
    </w:p>
    <w:p>
      <w:r>
        <w:t xml:space="preserve">  - วงเงินมากกว่า 200 ล้านบาท: อ้างอิงตาม DOA</w:t>
      </w:r>
    </w:p>
    <w:p/>
    <w:p>
      <w:r>
        <w:t>ข้อพิจารณาเพิ่มเติม:</w:t>
      </w:r>
    </w:p>
    <w:p>
      <w:r>
        <w:t>- โครงการที่เกี่ยวข้องกับอสังหาริมทรัพย์ ต้องได้รับการสอบทานจากหน่วยงาน Property Development หรือ Construction</w:t>
      </w:r>
    </w:p>
    <w:p>
      <w:r>
        <w:t>- โครงการที่เป็นรูปแบบ XaaS (Anything as a service) ต้องได้รับการสอบทานจากหน่วยงาน Technology and Data</w:t>
      </w:r>
    </w:p>
    <w:p>
      <w:r>
        <w:t>- การอนุมัติจากหน่วยงานอื่นให้ยึดตามระเบียบ CPAX-FN-001</w:t>
      </w:r>
    </w:p>
    <w:p>
      <w:r>
        <w:t>- ห้ามแบ่งมูลค่าโครงการออกเป็นส่วนย่อยเพื่อหลีกเลี่ยงการอนุมัติตามระดับอำนาจ เช่น การเปลี่ยนสินทรัพย์เดียวกันในหลายสาขา ต้องรวมเป็นโครงการเดียว</w:t>
      </w:r>
    </w:p>
    <w:p/>
    <w:p>
      <w:r>
        <w:t>การขออนุมัติงบประมาณในการทำโครงการ:</w:t>
      </w:r>
    </w:p>
    <w:p>
      <w:r>
        <w:t>1. เจ้าของโครงการต้องกรอกข้อมูลใน Budget Year Plan template ที่ได้รับจากฝ่าย Finance</w:t>
      </w:r>
    </w:p>
    <w:p>
      <w:r>
        <w:t>2. ฝ่าย Finance รวบรวมงบประมาณจากทุกหน่วยงานและนำเสนอเพื่อขออนุมัติต่อ EXCOM-CPAXT และ BOD-CPAXT ตามลำดับ</w:t>
      </w:r>
    </w:p>
    <w:p>
      <w:r>
        <w:t>3. ฝ่าย Finance จัดเก็บรายละเอียดงบประมาณแยกตามหน่วยงาน</w:t>
      </w:r>
    </w:p>
    <w:p/>
    <w:p/>
    <w:p>
      <w:r>
        <w:t>ผลตอบแทนของโครงการ:</w:t>
      </w:r>
    </w:p>
    <w:p>
      <w:r>
        <w:t>- ใช้เกณฑ์ Internal Rate of Return (IRR) และ Payback Period (PBP) เป็นหลักในการพิจารณา</w:t>
      </w:r>
    </w:p>
    <w:p>
      <w:r>
        <w:t>- อัตราผลตอบแทนที่คำนวณโดยเจ้าของโครงการอาจสูงหรือต่ำกว่าที่กำหนด โดยฝ่าย Finance และ/หรือคณะกรรมการที่เกี่ยวข้องจะเป็นผู้พิจารณาความเหมาะสมของโครงการ</w:t>
      </w:r>
    </w:p>
    <w:p/>
    <w:p>
      <w:r>
        <w:t>ตาราง IRR ตามประเภทโครงการ:</w:t>
      </w:r>
    </w:p>
    <w:p>
      <w:r>
        <w:t>- สำหรับโครงการประเภทที่ 1 และ 2:</w:t>
      </w:r>
    </w:p>
    <w:p>
      <w:r>
        <w:t xml:space="preserve">  - รูปแบบ Big Format: ต้องมีอัตราผลตอบแทนภายใน (IRR) ไม่น้อยกว่า 9%</w:t>
      </w:r>
    </w:p>
    <w:p>
      <w:r>
        <w:t xml:space="preserve">  - รูปแบบ Super Market: ต้องมี IRR ไม่น้อยกว่า 13%</w:t>
      </w:r>
    </w:p>
    <w:p>
      <w:r>
        <w:t xml:space="preserve">  - รูปแบบ Mini Super Market: ต้องมี IRR ไม่น้อยกว่า 20%</w:t>
      </w:r>
    </w:p>
    <w:p>
      <w:r>
        <w:t>- สำหรับโครงการประเภทที่ 3, 4 และ 5: ต้องมี IRR ไม่น้อยกว่า 20% ไม่ว่ารูปแบบใด</w:t>
      </w:r>
    </w:p>
    <w:p/>
    <w:p>
      <w:r>
        <w:t>ตาราง PBP ตามประเภทโครงการ:</w:t>
      </w:r>
    </w:p>
    <w:p>
      <w:r>
        <w:t>- สำหรับโครงการประเภทที่ 1 และ 2:</w:t>
      </w:r>
    </w:p>
    <w:p>
      <w:r>
        <w:t xml:space="preserve">  - รูปแบบ Big Format: ระยะเวลาคืนทุน (Payback Period: PBP) ไม่เกิน 11 ปี</w:t>
      </w:r>
    </w:p>
    <w:p>
      <w:r>
        <w:t xml:space="preserve">  - รูปแบบ Super Market: PBP ไม่เกิน 7 ปี</w:t>
      </w:r>
    </w:p>
    <w:p>
      <w:r>
        <w:t xml:space="preserve">  - รูปแบบ Mini Super Market: PBP ไม่เกิน 4 ปี</w:t>
      </w:r>
    </w:p>
    <w:p>
      <w:r>
        <w:t>- สำหรับโครงการประเภทที่ 3, 4 และ 5: PBP ไม่เกิน 4 ปี ไม่ว่ารูปแบบใด</w:t>
      </w:r>
    </w:p>
    <w:p/>
    <w:p>
      <w:r>
        <w:t>แนวทางการประเมินโครงการหลังเริ่มใช้งานจริง (Postnatal Review):</w:t>
      </w:r>
    </w:p>
    <w:p>
      <w:r>
        <w:t>1. เจ้าของโครงการต้องติดตาม ควบคุม และสอบทานความก้าวหน้าและความสำเร็จของโครงการให้เป็นไปตามแผนงาน</w:t>
      </w:r>
    </w:p>
    <w:p>
      <w:r>
        <w:t>2. เมื่อโครงการเสร็จสิ้นและได้ Implement แล้ว ให้ดำเนินการดังนี้:</w:t>
      </w:r>
    </w:p>
    <w:p>
      <w:r>
        <w:t xml:space="preserve">   - หากมีการจัดทำ Investment Proposal: หน่วยงาน Investment ต้องประเมินโครงการอย่างน้อยหนึ่งครั้งภายใน 1 ปีหลังจาก Implement</w:t>
      </w:r>
    </w:p>
    <w:p>
      <w:r>
        <w:t xml:space="preserve">   - สำหรับโครงการประเภทที่ 1: ต้องประเมินต่อเนื่องทุกปีเป็นเวลา 3 ปี เพื่อเปรียบเทียบผลตอบแทนกับที่ขออนุมัติไว้</w:t>
      </w:r>
    </w:p>
    <w:p>
      <w:r>
        <w:t xml:space="preserve">   - หากโครงการต้องประเมินมากกว่า 3 ปี: หน่วยงาน Investment และเจ้าของโครงการจะตกลงร่วมกัน</w:t>
      </w:r>
    </w:p>
    <w:p>
      <w:r>
        <w:t xml:space="preserve">   - ผลการประเมินจะถูกนำเสนอให้กับคณะกรรมการที่เกี่ยวข้อง เช่น WMC, RIC หรือ IT&amp;DC เพื่อพิจารณา</w:t>
      </w:r>
    </w:p>
    <w:p/>
    <w:p>
      <w:r>
        <w:t>วิธีการปฏิบัติงานของธุรกิจค้าส่งเมื่อเริ่มโครงการ:</w:t>
      </w:r>
    </w:p>
    <w:p/>
    <w:p>
      <w:pPr>
        <w:pStyle w:val="Heading2"/>
      </w:pPr>
      <w:r>
        <w:t>## [การลงทุนในโครงการ]</w:t>
      </w:r>
    </w:p>
    <w:p>
      <w:r>
        <w:t>1.1 การลงทุนในโครงการขนาดเล็กประเภทที่ 2, 3, 4 และ 5 ที่มูลค่าไม่เกิน 500,000 บาท:</w:t>
      </w:r>
    </w:p>
    <w:p>
      <w:r>
        <w:t>- เจ้าของโครงการจัดทำเอกสารขอซื้อ (Purchase Requisition) และใบสั่งซื้อ (Purchase Order) ตามระเบียบ NTP004 และ NTP005</w:t>
      </w:r>
    </w:p>
    <w:p>
      <w:r>
        <w:t>- การอนุมัติค่าใช้จ่ายเป็นไปตามระเบียบ CPAX-FN-001</w:t>
      </w:r>
    </w:p>
    <w:p/>
    <w:p>
      <w:pPr>
        <w:pStyle w:val="Heading2"/>
      </w:pPr>
      <w:r>
        <w:t>## [การลงทุนในโครงการ]</w:t>
      </w:r>
    </w:p>
    <w:p>
      <w:r>
        <w:t>1.2 การลงทุนในโครงการประเภทที่ 1, 2, 3, 4 และ 5 ที่มูลค่ามากกว่า 500,000 บาท แต่ไม่เกิน 20 ล้านบาท:</w:t>
      </w:r>
    </w:p>
    <w:p>
      <w:r>
        <w:t>- เจ้าของโครงการจัดทำเอกสาร ROI และเสนอให้ผู้มีอำนาจอนุมัติพิจารณาตามระเบียบ CPAX-FN-001</w:t>
      </w:r>
    </w:p>
    <w:p>
      <w:r>
        <w:t>- สำหรับโครงการประเภทที่ 4 ที่เป็นรูปแบบ XaaS (Abything as a service) หรือรูปแบบสมาชิก หากค่าใช้จ่ายรวมเกิน 5 ล้านบาทใน 3 ปี ต้องจัดทำ ROI และผ่านการสอบทานจากหน่วยงาน Technology โดยผู้มีอำนาจอนุมัติให้เป็นไปตามระเบียบ CPAX-FN-001</w:t>
      </w:r>
    </w:p>
    <w:p>
      <w:r>
        <w:t>- ROI ที่ได้รับอนุมัติแล้วต้องนำส่งให้หน่วยงาน FP&amp;A พิจารณาอนุมัติตามระเบียบ CPAX-FN-001</w:t>
      </w:r>
    </w:p>
    <w:p>
      <w:r>
        <w:t>- เมื่อได้รับอนุมัติจาก FP&amp;A แล้ว เจ้าของโครงการจัดทำใบสั่งซื้อ ตามระเบียบ NTP004 และ NTP005</w:t>
      </w:r>
    </w:p>
    <w:p>
      <w:r>
        <w:t>- การอนุมัติค่าใช้จ่ายเป็นไปตามระเบียบ CPAX-FN-001</w:t>
      </w:r>
    </w:p>
    <w:p/>
    <w:p>
      <w:r>
        <w:t>การลงทุนในโครงการที่มีผลกระทบต่อโครงสร้างค่าใช้จ่ายหรือมีภาระผูกพันทางจริยธรรม (Moral Obligation):</w:t>
      </w:r>
    </w:p>
    <w:p/>
    <w:p>
      <w:r>
        <w:t>สำหรับโครงการประเภทที่ 1, 2, 3, 4 และ 5 ที่มีมูลค่าไม่เกิน 20 ล้านบาท แต่มีลักษณะดังต่อไปนี้:</w:t>
      </w:r>
    </w:p>
    <w:p>
      <w:r>
        <w:t>- ส่งผลให้ต้องมีการเปลี่ยนแปลงโครงสร้างค่าใช้จ่ายของบริษัท</w:t>
      </w:r>
    </w:p>
    <w:p>
      <w:r>
        <w:t>- เพิ่มค่าใช้จ่ายในการดำเนินธุรกิจอย่างมีนัยสำคัญ</w:t>
      </w:r>
    </w:p>
    <w:p>
      <w:r>
        <w:t>- เมื่อตัดสินใจลงทุนแล้ว ไม่สามารถหยุดหรือยกเลิกโครงการได้ (Moral Obligation)</w:t>
      </w:r>
    </w:p>
    <w:p/>
    <w:p>
      <w:r>
        <w:t>ต้องดำเนินการดังนี้:</w:t>
      </w:r>
    </w:p>
    <w:p>
      <w:r>
        <w:t>1. ต้องได้รับการพิจารณาอนุมัติโครงการจาก Chief Financial Officer (CFO) ก่อน</w:t>
      </w:r>
    </w:p>
    <w:p>
      <w:r>
        <w:t>2. เจ้าของโครงการต้องจัดทำ Investment Proposal (IP) และนำเสนอต่อผู้มีอำนาจอนุมัติตามเงื่อนไขของธุรกิจค้าส่ง</w:t>
      </w:r>
    </w:p>
    <w:p>
      <w:r>
        <w:t>3. เมื่อ IP ได้รับอนุมัติแล้ว ให้จัดทำใบสั่งซื้อ (Purchase Order) ตามระเบียบ NTP004 และ NTP005</w:t>
      </w:r>
    </w:p>
    <w:p>
      <w:r>
        <w:t>4. การอนุมัติค่าใช้จ่ายให้เป็นไปตามระเบียบ CPAX-FN-001</w:t>
      </w:r>
    </w:p>
    <w:p/>
    <w:p>
      <w:r>
        <w:t>การลงทุนในโครงการที่มีมูลค่าเกิน 20 ล้านบาท:</w:t>
      </w:r>
    </w:p>
    <w:p>
      <w:r>
        <w:t>- เจ้าของโครงการต้องจัดทำ Investment Proposal (IP) และนำเสนอต่อผู้มีอำนาจอนุมัติตามเงื่อนไขของธุรกิจค้าส่ง</w:t>
      </w:r>
    </w:p>
    <w:p>
      <w:r>
        <w:t>- เมื่อ IP ได้รับอนุมัติแล้ว ให้จัดทำเอกสารขอซื้อ (PR) และใบสั่งซื้อ (PO) ตามระเบียบ NTP004 และ NTP005</w:t>
      </w:r>
    </w:p>
    <w:p>
      <w:r>
        <w:t>- การอนุมัติค่าใช้จ่ายให้เป็นไปตามระเบียบ CPAX-FN-001</w:t>
      </w:r>
    </w:p>
    <w:p/>
    <w:p>
      <w:r>
        <w:t>หลักฐานการอนุมัติและการจัดเก็บเอกสาร:</w:t>
      </w:r>
    </w:p>
    <w:p/>
    <w:p>
      <w:r>
        <w:t>1. สำหรับ ROI:</w:t>
      </w:r>
    </w:p>
    <w:p>
      <w:r>
        <w:t>- ผู้มีอำนาจอนุมัติสามารถอนุมัติได้ 2 วิธี:</w:t>
      </w:r>
    </w:p>
    <w:p>
      <w:r>
        <w:t xml:space="preserve">  - ลงนามบนเอกสารโดยตรง</w:t>
      </w:r>
    </w:p>
    <w:p>
      <w:r>
        <w:t xml:space="preserve">  - อนุมัติผ่านทางอีเมล</w:t>
      </w:r>
    </w:p>
    <w:p>
      <w:r>
        <w:t>- ในกรณีลงนามบนเอกสาร: หน่วยงาน FP&amp;A จะสแกนและจัดเก็บไว้ใน shared drive และส่งสำเนาให้เจ้าของโครงการเก็บไว้เพื่อใช้ประกอบการเบิกจ่าย</w:t>
      </w:r>
    </w:p>
    <w:p>
      <w:r>
        <w:t>- ในกรณีอนุมัติผ่านอีเมล: FP&amp;A จะแนบอีเมลอนุมัติรวมกับเอกสาร ROI และจัดเก็บไว้ใน shared drive พร้อมส่งให้เจ้าของโครงการเช่นกัน</w:t>
      </w:r>
    </w:p>
    <w:p/>
    <w:p>
      <w:r>
        <w:t>2. สำหรับ IP:</w:t>
      </w:r>
    </w:p>
    <w:p>
      <w:r>
        <w:t>- หลักฐานการอนุมัติคือ รายงานการประชุมของคณะกรรมการที่เกี่ยวข้อง (เช่น WMC, RIC, IT&amp;DC)</w:t>
      </w:r>
    </w:p>
    <w:p>
      <w:r>
        <w:t>- หน่วยงาน Investment จะจัดเก็บรายงานการประชุมรวมกับ IP ไว้ใน shared drive และส่งให้เจ้าของโครงการเก็บไว้เพื่อใช้ประกอบการเบิกจ่าย</w:t>
      </w:r>
    </w:p>
    <w:p/>
    <w:p>
      <w:r>
        <w:t>วิธีปฏิบัติงานของโครงการที่แตกต่างจากโครงการที่ขออนุมัติงบประมาณ</w:t>
      </w:r>
    </w:p>
    <w:p/>
    <w:p>
      <w:r>
        <w:t>กรณีที่ 1: โครงการแตกต่างจากที่ขออนุมัติงบประมาณไว้เดิม แต่ค่าใช้จ่ายไม่เกินงบประมาณเดิม</w:t>
      </w:r>
    </w:p>
    <w:p>
      <w:r>
        <w:t>- ต้องขออนุมัติโครงการใหม่ โดยมีแนวทางดังนี้:</w:t>
      </w:r>
    </w:p>
    <w:p>
      <w:r>
        <w:t xml:space="preserve">  - หากวงเงินไม่เกิน 500,000 บาท: เจ้าของโครงการต้องจัดทำ Memo เสนอให้ Senior Manager หรือ Area Manager ขึ้นไปพิจารณาอนุมัติ ตามระเบียบ CPAX-FN-001</w:t>
      </w:r>
    </w:p>
    <w:p>
      <w:r>
        <w:t xml:space="preserve">  - หากวงเงินเกิน 500,000 บาท: ต้องจัดทำ ROI หรือ IP ใหม่ และได้รับการอนุมัติจากผู้มีอำนาจตามตารางที่ 1</w:t>
      </w:r>
    </w:p>
    <w:p>
      <w:r>
        <w:t xml:space="preserve">  - เมื่อได้รับอนุมัติแล้ว: เจ้าของโครงการต้องจัดทำ “Capital Expenditure Budget Transfer Form” เพื่อโอนงบประมาณจากโครงการเดิมมายังโครงการใหม่ โดยงบประมาณใหม่ต้องไม่เกินงบเดิม</w:t>
      </w:r>
    </w:p>
    <w:p>
      <w:r>
        <w:t xml:space="preserve">  - ผู้มีอำนาจอนุมัติแบบฟอร์มการโอนงบประมาณต้องเป็นไปตามระเบียบ CPAX-FN-001</w:t>
      </w:r>
    </w:p>
    <w:p>
      <w:r>
        <w:t xml:space="preserve">  - เมื่อ ROI/IP และแบบฟอร์มการโอนงบประมาณได้รับอนุมัติแล้ว ให้นำส่งหน่วยงาน Finance เพื่อดำเนินการโยกงบประมาณ</w:t>
      </w:r>
    </w:p>
    <w:p>
      <w:r>
        <w:t xml:space="preserve">  - Finance จะแจ้งเจ้าของโครงการเมื่อการโยกงบประมาณเสร็จสิ้น</w:t>
      </w:r>
    </w:p>
    <w:p/>
    <w:p>
      <w:r>
        <w:t>กรณีที่ 2: โครงการเกินงบประมาณเดิม แต่สามารถโอนงบจากโครงการอื่นได้</w:t>
      </w:r>
    </w:p>
    <w:p>
      <w:r>
        <w:t>- ต้องพิจารณาจากมูลค่าการลงทุนใหม่ทั้งหมด:</w:t>
      </w:r>
    </w:p>
    <w:p>
      <w:r>
        <w:t xml:space="preserve">  - หากไม่เกิน 500,000 บาท: เจ้าของโครงการระดับ Senior Manager ขึ้นไปสามารถอนุมัติได้ตามระเบียบ CPAX-FN-001</w:t>
      </w:r>
    </w:p>
    <w:p>
      <w:r>
        <w:t xml:space="preserve">  - หากเกิน 500,000 บาท: ต้องจัดทำ ROI หรือ IP ใหม่ และได้รับการอนุมัติจากผู้มีอำนาจตามตารางที่ 1</w:t>
      </w:r>
    </w:p>
    <w:p>
      <w:r>
        <w:t>- เมื่องบประมาณใหม่ได้รับอนุมัติ:</w:t>
      </w:r>
    </w:p>
    <w:p>
      <w:r>
        <w:t xml:space="preserve">  - เจ้าของโครงการจัดทำ “Capital Expenditure Budget Transfer Form” เพื่อโอนงบจากโครงการอื่น</w:t>
      </w:r>
    </w:p>
    <w:p>
      <w:r>
        <w:t xml:space="preserve">  - หากเป็นการโอนระหว่างหน่วยงาน: ผู้มีอำนาจของทั้งหน่วยงานต้นทางและปลายทางต้องลงนามร่วมกัน</w:t>
      </w:r>
    </w:p>
    <w:p>
      <w:r>
        <w:t xml:space="preserve">  - เมื่อเอกสารได้รับอนุมัติแล้ว ให้นำส่ง Finance เพื่อดำเนินการโยกงบ</w:t>
      </w:r>
    </w:p>
    <w:p>
      <w:r>
        <w:t xml:space="preserve">  - Finance จะแจ้งเจ้าของโครงการเมื่อการโยกงบเสร็จสิ้น</w:t>
      </w:r>
    </w:p>
    <w:p/>
    <w:p>
      <w:r>
        <w:t>กรณีที่ 3: โครงการไม่มีงบประมาณไว้ หรือเกินงบเดิม และไม่สามารถโอนงบจากโครงการอื่นได้</w:t>
      </w:r>
    </w:p>
    <w:p>
      <w:r>
        <w:t>- ให้ปฏิบัติตามขั้นตอนในกรณีที่ 1 และเพิ่มเติมดังนี้:</w:t>
      </w:r>
    </w:p>
    <w:p>
      <w:r>
        <w:t xml:space="preserve">  - เมื่อ ROI/IP และแบบฟอร์มการโอนงบประมาณได้รับอนุมัติแล้ว ให้นำส่ง Finance เพื่อพิจารณาหางบประมาณให้ตรงกับความต้องการ</w:t>
      </w:r>
    </w:p>
    <w:p>
      <w:r>
        <w:t xml:space="preserve">  - หาก Finance พบว่าสามารถโยกงบจากหน่วยงานอื่นได้: จะแจ้งเจ้าของงบประมาณให้ลงนามร่วมในแบบฟอร์ม</w:t>
      </w:r>
    </w:p>
    <w:p>
      <w:r>
        <w:t xml:space="preserve">  - หากไม่สามารถหาแหล่งงบประมาณได้: Finance จะแจ้งเจ้าของโครงการให้พิจารณาทำโครงการในปีถัดไป</w:t>
      </w:r>
    </w:p>
    <w:p>
      <w:r>
        <w:t xml:space="preserve">  - เมื่องบประมาณได้รับการอนุมัติแล้ว: Finance จะแจ้งเจ้าของโครงการเพื่อเริ่มดำเนินงาน</w:t>
      </w:r>
    </w:p>
    <w:p/>
    <w:p>
      <w:r>
        <w:t>วิธีการปฏิบัติงานของธุรกิจค้าปลีก</w:t>
      </w:r>
    </w:p>
    <w:p/>
    <w:p>
      <w:r>
        <w:t>1. วิธีปฏิบัติงานเมื่อเริ่มทำโครงการ</w:t>
      </w:r>
    </w:p>
    <w:p/>
    <w:p>
      <w:r>
        <w:t>1.1 การขออนุมัติใช้งบประมาณเพื่อลงทุนโครงการ:</w:t>
      </w:r>
    </w:p>
    <w:p>
      <w:r>
        <w:t>- เอกสาร ROI หรือ IP ต้องได้รับการตรวจสอบและอนุมัติโดยผู้มีอำนาจตามเงื่อนไขอำนาจอนุมัติของธุรกิจค้าปลีก</w:t>
      </w:r>
    </w:p>
    <w:p>
      <w:r>
        <w:t>- สำหรับโครงการประเภท non-property และ Property – Mall ต้องผ่านการตรวจสอบจากฝ่ายบัญชี โดยเฉพาะ Senior Manager – Accounting General Ledger &amp; Fixed Assets เพื่อให้แน่ใจว่ารายการใช้จ่ายสามารถบันทึกเป็นสินทรัพย์ตามมาตรฐานบัญชี</w:t>
      </w:r>
    </w:p>
    <w:p>
      <w:r>
        <w:t>- การตรวจสอบนี้สามารถทำได้ก่อนหรือหลังการนำเสนอ ROI/IP หากมีการกำหนดรายการสินทรัพย์ในภายหลัง</w:t>
      </w:r>
    </w:p>
    <w:p/>
    <w:p>
      <w:r>
        <w:t>1.2 การขอเปิดโครงการผ่านระบบ (Project number requesting process):</w:t>
      </w:r>
    </w:p>
    <w:p>
      <w:r>
        <w:t>- หลังจากโครงการได้รับอนุมัติ เจ้าของโครงการต้องขอเปิดโครงการผ่านระบบ Oracle ERP – Project module</w:t>
      </w:r>
    </w:p>
    <w:p>
      <w:r>
        <w:t>- ต้องแนบเอกสาร ROI, IP (ถ้ามี), รายงานการประชุม หรืออีเมลอนุมัติจากผู้มีอำนาจ</w:t>
      </w:r>
    </w:p>
    <w:p>
      <w:r>
        <w:t>- หน่วยงาน Finance ตรวจสอบเอกสารและอนุมัติการเปิดโครงการ</w:t>
      </w:r>
    </w:p>
    <w:p>
      <w:r>
        <w:t>- ระบบจะสร้างเลขที่โครงการอัตโนมัติ และแจ้งเตือนหน่วยงาน Accounting</w:t>
      </w:r>
    </w:p>
    <w:p>
      <w:r>
        <w:t>- หน่วยงาน Accounting จะสร้าง Project Code ในระบบ COA ผ่าน Oracle ERP – GL Module</w:t>
      </w:r>
    </w:p>
    <w:p>
      <w:r>
        <w:t>- เจ้าของโครงการสามารถเริ่มสร้างใบขอซื้อ (PR) หรือใบสั่งซื้อ (PO) ได้</w:t>
      </w:r>
    </w:p>
    <w:p/>
    <w:p>
      <w:r>
        <w:t>1.3 การติดตามและตรวจสอบโครงการ (Project tracking and monitoring):</w:t>
      </w:r>
    </w:p>
    <w:p>
      <w:r>
        <w:t>- เจ้าของโครงการต้องอัปเดตสถานะโครงการ (กำลังดำเนินการ หรือ เสร็จสิ้น) ผ่านระบบ Oracle ERP – Project module</w:t>
      </w:r>
    </w:p>
    <w:p>
      <w:r>
        <w:t>- เมื่อโครงการเสร็จสิ้น หน่วยงาน Finance – CAPEX จะยืนยันสถานะและเริ่มคำนวณค่าเสื่อมราคาสำหรับโครงการที่เป็น CAPEX</w:t>
      </w:r>
    </w:p>
    <w:p>
      <w:r>
        <w:t>- เจ้าของโครงการต้องเคลียร์ PO ทั้งหมดภายใน 3 เดือนหลังจากโครงการเสร็จสิ้น และยืนยันการเสร็จสิ้นกับ Finance – CAPEX</w:t>
      </w:r>
    </w:p>
    <w:p>
      <w:r>
        <w:t>- Finance – CAPEX จะดำเนินการปิดโครงการในระบบ และแจ้งเจ้าของโครงการและหน่วยงาน Accounting</w:t>
      </w:r>
    </w:p>
    <w:p/>
    <w:p>
      <w:r>
        <w:t>2. วิธีปฏิบัติงานของโครงการที่แตกต่างจากโครงการที่ขออนุมัติงบประมาณ:</w:t>
      </w:r>
    </w:p>
    <w:p/>
    <w:p>
      <w:r>
        <w:t>2.1 เจ้าของโครงการต้องแจ้ง Business Analyst เพื่อแก้ไข ROI/IP ตามงบประมาณใหม่ และขออนุมัติจากผู้มีอำนาจ</w:t>
      </w:r>
    </w:p>
    <w:p/>
    <w:p>
      <w:r>
        <w:t>2.1.1 หากโครงการยังไม่ใกล้แล้วเสร็จ (ไม่เสร็จ):</w:t>
      </w:r>
    </w:p>
    <w:p>
      <w:r>
        <w:t>- พิจารณาจากมูลค่าการลงทุนรวมใหม่:</w:t>
      </w:r>
    </w:p>
    <w:p>
      <w:r>
        <w:t xml:space="preserve">  - ถ้าไม่เกิน 5 ล้านบาท: เจ้าของโครงการสามารถอนุมัติได้ตามลำดับอำนาจใน CPAX-FN-001</w:t>
      </w:r>
    </w:p>
    <w:p>
      <w:r>
        <w:t xml:space="preserve">  - ถ้าเกิน 5 ล้านบาท: ต้องได้รับอนุมัติจากผู้มีอำนาจตามตารางที่ 2</w:t>
      </w:r>
    </w:p>
    <w:p>
      <w:r>
        <w:t>2.1.2 หากโครงการใกล้เสร็จ:</w:t>
      </w:r>
    </w:p>
    <w:p>
      <w:r>
        <w:t>- พิจารณาจากมูลค่าส่วนเพิ่มจากงบประมาณเดิม:</w:t>
      </w:r>
    </w:p>
    <w:p>
      <w:r>
        <w:t xml:space="preserve">  - ถ้าไม่เกิน 5 ล้านบาท: เจ้าของโครงการสามารถอนุมัติได้ตามลำดับอำนาจใน CPAX-FN-001</w:t>
      </w:r>
    </w:p>
    <w:p>
      <w:r>
        <w:t xml:space="preserve">  - ถ้าเกิน 5 ล้านบาท: ต้องได้รับอนุมัติจากผู้มีอำนาจตามตารางที่ 2</w:t>
      </w:r>
    </w:p>
    <w:p/>
    <w:p>
      <w:r>
        <w:t>3. เมื่องบประมาณใหม่ได้รับอนุมัติ:</w:t>
      </w:r>
    </w:p>
    <w:p>
      <w:r>
        <w:t>- หน่วยงาน Finance จะอนุมัติการแก้ไขตัวเลขงบประมาณในระบบให้กับเจ้าของโครงการ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