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Section-Aware Version: Trade Supplier Registration and Payment Policy</w:t>
      </w:r>
    </w:p>
    <w:p>
      <w:r>
        <w:t>## เริ่มต้น</w:t>
      </w:r>
    </w:p>
    <w:p>
      <w:r>
        <w:t>บัญชีและการเงิน : Trade Supplier Registration and Payment Policy</w:t>
      </w:r>
    </w:p>
    <w:p>
      <w:r>
        <w:t>การ register คู่ค้าและเกณฑ์การจ่ายชำระ Trade</w:t>
      </w:r>
    </w:p>
    <w:p>
      <w:r>
        <w:t>## ระเบียบปฏิบัติ FA-G-15</w:t>
      </w:r>
    </w:p>
    <w:p>
      <w:r>
        <w:t>ชื่อระเบียบปฏิบัติการ register คู่ค้าและเกณฑ์การจ่ายชำระ Trade</w:t>
      </w:r>
    </w:p>
    <w:p>
      <w:r>
        <w:t>วันที่มีผลบังคับใช้ 15 มกราคม 2568</w:t>
      </w:r>
    </w:p>
    <w:p>
      <w:r>
        <w:t>อนุมัติโดย คุณรณกฤต พจมานพรชัย</w:t>
      </w:r>
    </w:p>
    <w:p>
      <w:r>
        <w:t>## วัตถุประสงค์ กำหนดขั้นตอนการปฏิบัติที่ชัดเจน และการควบคุมภายในที่มีประสิทธิผลสำหรับการเพิ่มและเปลี่ยนแปลงข้อมูล การตรวจสอบวิเคราะห์สถานะ (due diligence) และการจ่ายชำระเงิน สำหรับคู่ค้า Trade</w:t>
      </w:r>
    </w:p>
    <w:p>
      <w:r>
        <w:t>มีผลบังคับใช้กับ คู่ค้าที่เป็น Trade supplier ทั้งหมด (สินค้ามีไว้เพื่อขาย ) สำหรับบริษัท ซีพี แอ็กซ์ตร้า จำกัด (มหาชน) ธุรกิจค้าปลีก</w:t>
      </w:r>
    </w:p>
    <w:p>
      <w:r>
        <w:t>## ระเบียบปฏิบัติ</w:t>
      </w:r>
    </w:p>
    <w:p>
      <w:r>
        <w:t>การทำสัญญา การตรวจสอบวิเคราะห์สถานะ (due diligence) และ การเพิ่ม/เปลี่ยนแปลงข้อมูลคู่ค้า</w:t>
      </w:r>
    </w:p>
    <w:p>
      <w:r>
        <w:t>พนักงานฝ่ายจัดซื้อ (Buyer) สามารถขอเพิ่มคู่ค้าใหม่หรือรหัสคู่ค้าเพิ่มเติม โดยนำส่ง ใบเปิดหน้าบัญชี  (Vendor Information Form) และ Vendor Approval Form และเอกสารประกอบครบถ้วน (เอกสารแนบ ก) ที่แผนกบัญชีตามตารางการทำงานที่ระบุใน เอกสารแนบ ข</w:t>
      </w:r>
    </w:p>
    <w:p>
      <w:r>
        <w:t>การขอเพิ่มคู่ค้าใหม่หรือการขอรหัสคู่ค้าเพิ่ม ต้องได้รับการอนุมัติจากผู้มีอำนาจอนุมัติตามที่ระบุดังต่อไปนี้ แผนก Commercial ผู้มีอำนาจอนุมัติ Associate Director ขึ้นไป แผนก Quality</w:t>
        <w:tab/>
        <w:t xml:space="preserve"> ผู้มีอำนาจอนุมัติ Senior Manager - Quality Assurance</w:t>
      </w:r>
    </w:p>
    <w:p>
      <w:r>
        <w:t>พนักงานฝ่ายจัดซื้อ (Buyer) ต้องให้แผนก Quality ทำ Pre-Audit Questionnaire และกรอกข้อมูลใน “แบบสอบถามสำหรับการพิจารณาเพื่อตรวจประเมินสถานที่ผลิต” (“Audit Report Summary/ Corrective Actions and Improvement Plan Vetting”)  ให้ครบถ้วน ก่อนนำส่ง Vendor Approval Form ให้กับแผนกบัญชี</w:t>
      </w:r>
    </w:p>
    <w:p>
      <w:r>
        <w:t>## สัญญาซื้อขายต้องเซ็นโดยครบถ้วนสมบูรณ์ ก่อนนำส่ง Vendor Approval Form ให้กับแผนกบัญชี โดยต้องใช้สัญญารูปแบบมาตรฐานของบริษัท กรณีที่ใช้สัญญารูปแบบอื่น สัญญาต้องได้รับการสอบทานและอนุมัติโดยแผนกกฎหมาย</w:t>
      </w:r>
    </w:p>
    <w:p>
      <w:r>
        <w:t>คู่ค้าทุกรายต้องมีเลขผู้เสียภาษีเฉพาะแต่ละราย สำหรับคู่ค้า 1 ราย สามารถเปิด supplier site ได้มากกว่า 1 site โดยแบ่งตามประเภทของรายการ ในส่วนของรหัสคู่ค้า (supplier code) จะถูก set up ในระบบตามที่ระบุใน เอกสารแนบ ค</w:t>
      </w:r>
    </w:p>
    <w:p>
      <w:r>
        <w:t>คู่ค้าทุกราย ต้องผ่านการทำ Due Diligence และการประเมินความเสี่ยงทางการเงิน</w:t>
      </w:r>
    </w:p>
    <w:p>
      <w:r>
        <w:t>การทำ Due Diligence หากระดับความเสี่ยงของคู่ค้าอยู่ในระดับกลางหรือสูง การดำเนินการค้าจะต้องได้รับการพิจารณาและอนุมัติจากแผนกกฎหมาย</w:t>
      </w:r>
    </w:p>
    <w:p>
      <w:r>
        <w:t>## การประเมินความเสี่ยงการเงิน ระดับความเสี่ยงที่ยอมรับได้จะต้องเป็นไปตามที่ระบุไว้ใน เอกสารแนบ ง เท่านั้น การดำเนินการค้ากับคู่ค้าที่มีความเสี่ยงนอกเหนือไปจากที่ระบุไว้หรือกับคู่ค้าที่ไม่สามารถระบุความเสี่ยงได้ จะต้องได้รับการอนุมัติโดย Director - Accounting ก่อนเท่านั้น  การประเมินความเสี่ยงทางการเงินจะได้รับการยกเว้นกรณีตามที่ระบุไว้ใน เอกสารแนบ ง</w:t>
      </w:r>
    </w:p>
    <w:p>
      <w:r>
        <w:t>## กรณีการขอรหัสคู่ค้าเพิ่ม หรือการ reactivate รหัสคู่ค้าที่ inactivate ไปแล้ว หากคู่ค้าดังกล่าวยังคงมีรายการซื้อขายกับบริษัทในรหัสคู่ค้าอื่น ไม่ต้องทำ due diligence และการประเมินความเสี่ยงทางการเงินใหม่</w:t>
      </w:r>
    </w:p>
    <w:p>
      <w:r>
        <w:t>สำหรับการขอแก้ไข/เปลี่ยนแปลงรายละเอียดข้อมูลคู่ค้าเดิม พนักงานจัดซื้อจะเป็นผู้แจ้งให้แผนกบัญชีทราบ พร้อมกับนำส่งเอกสารประกอบการแก้ไข เพื่อให้แผนกบัญชีดำเนินการแก้ไขข้อมูลคู่ค้าในระบบ</w:t>
      </w:r>
    </w:p>
    <w:p>
      <w:r>
        <w:t>หลังจากได้รับเอกสารที่สมบูรณ์สำหรับการขอเปิดคู่ค้ารายใหม่ การขอรหัสคู่ค้าเพิ่ม และการขอแก้ไขข้อมูลคู่ค้าเดิม แผนกบัญชีจะกรอกข้อมูลในระบบภายในระยะเวลาที่กำหนดตามที่ระบุไว้ใน เอกสารแนบ ข</w:t>
      </w:r>
    </w:p>
    <w:p>
      <w:r>
        <w:t>ผู้จัดการแผนกบัญชีจะจัดทำรายงานการเปลี่ยนแปลงใน supplier master data ในแต่ละ period และตรวจสอบรายการกับเอกสารเพื่อยืนยันความถูกต้อง</w:t>
      </w:r>
    </w:p>
    <w:p>
      <w:r>
        <w:t>แผนกบัญชีจะ Inactivate คู่ค้าที่ไม่มีรายการซื้อขายในช่วงระยะเวลา 18 เดือนที่ผ่านมา โดยจะดำเนินการปีละ 1 ครั้ง และจะแจ้งรายชื่อคู่ค้าให้พนักงานฝ่ายจัดซื้อ (Buyer) และ Associate Director (Commercial) ทราบ ก่อนจะให้แผนก Information Technology (IT) ดำเนินการ inactivate ข้อมูลคู่ค้าในระบบ</w:t>
      </w:r>
    </w:p>
    <w:p>
      <w:r>
        <w:t>พนักงานสามารถขอให้ reactivate คู่ค้าที่ inactivate ไปแล้วได้โดยดำเนินการตามวิธีเดียวกับการขอเพิ่มคู่ค้าใหม่</w:t>
      </w:r>
    </w:p>
    <w:p>
      <w:r>
        <w:t>## รอบการจ่ายเงินมาตรฐาน (Standard Payment Term) เป็นดังต่อไปนี้</w:t>
      </w:r>
    </w:p>
    <w:p>
      <w:r>
        <w:t>ประเภทสินค้า</w:t>
      </w:r>
    </w:p>
    <w:p>
      <w:r>
        <w:t>Fresh Food (Local supplier*) รอบการจ่ายเงินมาตรฐาน 15 วัน</w:t>
      </w:r>
    </w:p>
    <w:p>
      <w:r>
        <w:t>Fresh Food (Big supplier) รอบการจ่ายเงินมาตรฐาน 30 วัน รวบบิล</w:t>
      </w:r>
    </w:p>
    <w:p>
      <w:r>
        <w:t>Fresh Food (สินค้าฝากขาย) รอบการจ่ายเงินมาตรฐาน 15 วัน นับจากวันขาย</w:t>
      </w:r>
    </w:p>
    <w:p>
      <w:r>
        <w:t>Dry grocery รอบการจ่ายเงินมาตรฐาน 60 วัน รวบบิล</w:t>
      </w:r>
    </w:p>
    <w:p>
      <w:r>
        <w:t>Liquor &amp; Tobacco รอบการจ่ายเงินมาตรฐาน 45 วัน รวบบิล</w:t>
      </w:r>
    </w:p>
    <w:p>
      <w:r>
        <w:t>Apparel รอบการจ่ายเงินมาตรฐาน 60 วัน รวบบิล</w:t>
      </w:r>
    </w:p>
    <w:p>
      <w:r>
        <w:t>Hardline – Home รอบการจ่ายเงินมาตรฐาน 60 วัน รวบบิล</w:t>
      </w:r>
    </w:p>
    <w:p>
      <w:r>
        <w:t>Hardline – Electronic รอบการจ่ายเงินมาตรฐาน</w:t>
        <w:tab/>
        <w:t>60 วัน รวบบิล</w:t>
      </w:r>
    </w:p>
    <w:p>
      <w:r>
        <w:t>* Local supplier = ธุรกิจที่โดยปกติต้องจ่ายชำระค่าสินค้าเป็นเงินสดในวันที่ส่งสินค้า</w:t>
      </w:r>
    </w:p>
    <w:p>
      <w:r>
        <w:t>## รอบการจ่ายเงินสำหรับผู้ประกอบธุรกิจขนาดกลางและขนาดย่อม (SMEs)</w:t>
      </w:r>
    </w:p>
    <w:p>
      <w:r>
        <w:t>ประเภทสินค้า</w:t>
      </w:r>
    </w:p>
    <w:p>
      <w:r>
        <w:t>กลุ่มสินค้าเกษตร สินค้าเกษตรชุมชน สินค้าชุมชน สินค้าวิสาหกิจชุมชนหรือผลิตภัณฑ์ท้องถิ่น (OTOP)  30 วัน</w:t>
      </w:r>
    </w:p>
    <w:p>
      <w:r>
        <w:t xml:space="preserve">กลุ่มสินค้าอื่นๆ </w:t>
        <w:tab/>
        <w:t>45 วัน</w:t>
      </w:r>
    </w:p>
    <w:p>
      <w:r>
        <w:t>*ความหมายของผู้ประกอบธุรกิจขนาดกลางและขนาดย่อม (SMEs) อ้างอิงตามกฎหมายว่าด้วยการกำหนดลักษณะของวิสาหกิจขนาดกลางและขนาดย่อม</w:t>
      </w:r>
    </w:p>
    <w:p>
      <w:r>
        <w:t>## รอบการจ่ายเงินนับจากวันใดวันหนึ่งที่ช้ากว่าระหว่าง</w:t>
      </w:r>
    </w:p>
    <w:p>
      <w:r>
        <w:t>วันที่ได้รับสินค้าหรือบริการ; และ</w:t>
      </w:r>
    </w:p>
    <w:p>
      <w:r>
        <w:t>วันที่ได้รับใบแจ้งหนี้ที่ถูกต้อง</w:t>
      </w:r>
    </w:p>
    <w:p>
      <w:r>
        <w:t>สำหรับคู่ค้าที่มีรอบการจ่ายเงินที่ต่างไปจากรอบการจ่ายเงินมาตรฐาน ต้องได้รับการอนุมัติจาก Associate Director (Commercial) ขึ้นไป, Director – Finance Retail Business และ Chief Financial Officer</w:t>
      </w:r>
    </w:p>
    <w:p>
      <w:r>
        <w:t>## ไม่อนุญาตให้ทำการจ่ายเงินล่าช้า ยกเว้นกรณีพิเศษบางกรณี เช่น คู่ค้าออกใบแจ้งหนี้ผิด และห้ามให้มีการการขอเลื่อนการจ่ายเงิน การทำสัญญาต่างตอบแทน และการให้คู่ค้ากู้ยืมเงินโดยเด็ดขาด</w:t>
      </w:r>
    </w:p>
    <w:p>
      <w:r>
        <w:t>## หากมีกรณีการจ่ายชำระเงินล่วงหน้าหรือจ่ายเงินก่อนกำหนดเพื่อส่วนลด ให้อ้างอิงขั้นตอนการปฏิบัติงาน แบบฟอร์ม และเอกสารที่เกี่ยวข้องจากระเบียบปฏิบัติเฉพาะ เรื่องส่วนลดเงินสด (Cash discount) สำหรับบริษัทคู่ค้า</w:t>
      </w:r>
    </w:p>
    <w:p>
      <w:r>
        <w:t>## กรณีมีข้อยกเว้นไม่เป็นไปตามขั้นตอนที่กำหนดไว้ ต้องได้รับการอนุมัติจาก Chief Financial Officer</w:t>
      </w:r>
    </w:p>
    <w:p>
      <w:r>
        <w:t>วิธีการการจ่ายเงินมาตรฐาน ระบุไว้ใน เอกสารแนบ จ  วิธีการจ่ายเงินที่นอกเหนือไปจากที่กำหนดไว้ดังกล่าว ต้องได้รับการอนุมัติโดย Chief Financial Officer</w:t>
      </w:r>
    </w:p>
    <w:p>
      <w:r>
        <w:t>## โครงการจัดหาเงินทุนของผู้ขาย (Vendor financing schemes)</w:t>
      </w:r>
    </w:p>
    <w:p>
      <w:r>
        <w:t>การเข้าร่วมโครงการจัดหาเงินทุนของผู้ขาย (Vendor financing schemes) ที่ดำเนินการกับธนาคาร จะทำได้เมื่อได้รับอนุมัติจาก Chief Financial Officer แล้วเท่านั้น และทุกรายการต้องมีเอกสาร Memo จากธนาคารเพื่อยืนยันการอนุมัติจากโครงการ</w:t>
      </w:r>
    </w:p>
    <w:p>
      <w:r>
        <w:t>## เอกสารแนบ ก :  เอกสารประกอบใบเปิดหน้าบัญชี (VENDOR INFORMATION FORM)</w:t>
      </w:r>
    </w:p>
    <w:p>
      <w:r>
        <w:t>บุคคลธรรมดา</w:t>
      </w:r>
    </w:p>
    <w:p>
      <w:r>
        <w:t>- สำเนาบัตรประจำตัวผู้เสียภาษี</w:t>
      </w:r>
    </w:p>
    <w:p>
      <w:r>
        <w:t>## - สำเนาใบจดทะเบียนภาษีมูลค่าเพิ่ม(ภ.พ.20) กรณีที่ผู้ขายที่จดทะเบียนภาษีมูลค่าเพิ่ม</w:t>
      </w:r>
    </w:p>
    <w:p>
      <w:r>
        <w:t>- หนังสือรับรองเลขที่บัญชีที่ออกโดยธนาคารไทยพาณิชย์</w:t>
      </w:r>
    </w:p>
    <w:p>
      <w:r>
        <w:t>- สำเนาหน้าบัญชีธนาคาร (Book Bank) ธนาคารไทยพาณิชย์ที่ประทับตรารับรองโดยธนาคาร</w:t>
      </w:r>
    </w:p>
    <w:p>
      <w:r>
        <w:t>- สำเนาบัตรประจำตัวประชาชน* และสำเนาทะเบียนบ้านของคู่ค้า</w:t>
      </w:r>
    </w:p>
    <w:p>
      <w:r>
        <w:t>- ข้อตกลงในการซื้อขาย/ส่วนลดมาตรฐานในการสั่งซื้อ (ถ้ามี)</w:t>
      </w:r>
    </w:p>
    <w:p>
      <w:r>
        <w:t>- รายงาน Due Diligence จากแผนกกฎหมาย</w:t>
      </w:r>
    </w:p>
    <w:p>
      <w:r>
        <w:t>- สัญญาซื้อขายสินค้า</w:t>
      </w:r>
    </w:p>
    <w:p>
      <w:r>
        <w:t>- เอกสารยืนยันการอบรมจรรยาบรรณทางธุรกิจสำหรับคู่ค้า</w:t>
      </w:r>
    </w:p>
    <w:p>
      <w:r>
        <w:t>*พนักงานฝ่ายจัดซื้อจะต้องตรวจสอบ/ขีดฆ่า ข้อมูลส่วนบุคคลอ่อนไหว ได้แก่ ศาสนา หมู่โลหิต ก่อนนำส่งเอกสารประกอบ เพื่อปฏิบัติตามกฎหมายคุ้มครองข้อมูลส่วนบุคคล</w:t>
      </w:r>
    </w:p>
    <w:p>
      <w:r>
        <w:t>**การขอรหัสคู่ค้าเพิ่มสำหรับคู่ค้าที่ถูกเพิ่มเข้ามาให้ระบบตั้งแต่ พ.ศ.2561 เป็นต้นไป พนักงานฝ่ายจัดซื้อจะต้องแนบสำเนา Dun and Bradstreet (D&amp;B)</w:t>
      </w:r>
    </w:p>
    <w:p>
      <w:r>
        <w:t>นิติบุคคล</w:t>
      </w:r>
    </w:p>
    <w:p>
      <w:r>
        <w:t>- สำเนาหนังสือรับรองการจดทะเบียนการค้า ตามประมวลกฎหมายแพ่งและพาณิชย์</w:t>
      </w:r>
    </w:p>
    <w:p>
      <w:r>
        <w:t>- สำเนาบัตรประจำตัวผู้เสียภาษี</w:t>
      </w:r>
    </w:p>
    <w:p>
      <w:r>
        <w:t>## - สำเนาใบจดทะเบียนภาษีมูลค่าเพิ่ม(ภ.พ.20) กรณีที่ผู้ขายที่จดทะเบียนภาษีมูลค่าเพิ่ม</w:t>
      </w:r>
    </w:p>
    <w:p>
      <w:r>
        <w:t>- หนังสือรับรองเลขที่บัญชีที่ออกโดยธนาคารไทยพาณิชย์</w:t>
      </w:r>
    </w:p>
    <w:p>
      <w:r>
        <w:t>- สำเนาหน้าบัญชีธนาคาร (Book Bank) ธนาคารไทยพาณิชย์ที่ประทับตรารับรองโดยธนาคาร</w:t>
      </w:r>
    </w:p>
    <w:p>
      <w:r>
        <w:t>- สำเนาบัตรประจำตัวประชาชน* และสำเนาทะเบียนบ้านของกรรมการผู้จัดการ</w:t>
      </w:r>
    </w:p>
    <w:p>
      <w:r>
        <w:t>- ข้อตกลงในการซื้อขาย/ส่วนลดมาตรฐานในการสั่งซื้อ (ถ้ามี)</w:t>
      </w:r>
    </w:p>
    <w:p>
      <w:r>
        <w:t>- รายงาน Due Diligence จากแผนกกฎหมาย</w:t>
      </w:r>
    </w:p>
    <w:p>
      <w:r>
        <w:t>## - รายงาน Dun and Bradstreet (D&amp;B) พร้อม memo อนุมัติโดย Director - Accounting กรณีความเสี่ยงระดับ 4 หรือไม่สามารถประเมินความเสี่ยงได้**</w:t>
      </w:r>
    </w:p>
    <w:p>
      <w:r>
        <w:t>- สัญญาซื้อขายสินค้า</w:t>
      </w:r>
    </w:p>
    <w:p>
      <w:r>
        <w:t>## - หนังสือยืนยันการเป็นผู้ประกอบการวิสาหกิจขนาดกลางและขนาดย่อม (กรณี SMEs)</w:t>
      </w:r>
    </w:p>
    <w:p>
      <w:r>
        <w:t>- เอกสารยืนยันการอบรมจรรยาบรรณทางธุรกิจสำหรับคู่ค้า</w:t>
      </w:r>
    </w:p>
    <w:p>
      <w:r>
        <w:t>*พนักงานฝ่ายจัดซื้อจะต้องตรวจสอบ/ขีดฆ่า ข้อมูลส่วนบุคคลอ่อนไหว ได้แก่ ศาสนา หมู่โลหิต ก่อนนำส่งเอกสารประกอบ เพื่อปฏิบัติตามกฎหมายคุ้มครองข้อมูลส่วนบุคคล</w:t>
      </w:r>
    </w:p>
    <w:p>
      <w:r>
        <w:t>**การขอรหัสคู่ค้าเพิ่มสำหรับคู่ค้าที่ถูกเพิ่มเข้ามาให้ระบบตั้งแต่ พ.ศ.2561 เป็นต้นไป พนักงานฝ่ายจัดซื้อจะต้องแนบสำเนา Dun and Bradstreet (D&amp;B)</w:t>
      </w:r>
    </w:p>
    <w:p>
      <w:r>
        <w:t>## เอกสารแนบ ข : ตารางการทำงาน</w:t>
      </w:r>
    </w:p>
    <w:p>
      <w:r>
        <w:t>วันและเวลารับเอกสาร พนักงานฝ่ายจัดซื้อ (Buyer) ยื่นส่งเอกสาร วันพฤหัสบดี และติดต่อขอรับสำเนาเอกสารใบเปิดหน้าบัญชีได้ในวันจันทร์ถัดไป ตั้งแต่ 13:00 น. เป็นต้นไป</w:t>
      </w:r>
    </w:p>
    <w:p>
      <w:r>
        <w:t>ระยะเวลาดำเนินการ ฝ่ายบัญชีเพิ่ม/แก้ไขข้อมูลคู่ค้าในระบบในวันศุกร์</w:t>
      </w:r>
    </w:p>
    <w:p>
      <w:r>
        <w:t>## เอกสารแนบ ค : รหัสคู่ค้า</w:t>
      </w:r>
    </w:p>
    <w:p>
      <w:r>
        <w:t>ประเภทรายการ</w:t>
      </w:r>
    </w:p>
    <w:p>
      <w:r>
        <w:t>Fresh food, Dry Grocery รหัสคู่ค้า ขึ้นต้นด้วย 0  (00001 - 09999) และ 1 (10001-19999)</w:t>
      </w:r>
    </w:p>
    <w:p>
      <w:r>
        <w:t>Apparel, Hardline</w:t>
        <w:tab/>
        <w:t>รหัสคู่ค้า ขึ้นต้นด้วย 5  (50001 - 59999)</w:t>
      </w:r>
    </w:p>
    <w:p>
      <w:r>
        <w:t>Payment on Delivery รหัสคู่ค้า ขึ้นต้นด้วย 7  (70001 - 78999)</w:t>
      </w:r>
    </w:p>
    <w:p>
      <w:r>
        <w:t>Consignment รหัสคู่ค้า ขึ้นต้นด้วย 8  (80001 - 84999) และ 6 (60001-69999)</w:t>
      </w:r>
    </w:p>
    <w:p>
      <w:r>
        <w:t>Store Supply รหัสคู่ค้า ขึ้นต้นด้วย 79 (79001- 79999)</w:t>
      </w:r>
    </w:p>
    <w:p>
      <w:r>
        <w:t>## เอกสารแนบ ง : การประเมินความเสี่ยงทางการเงิน และกรณียกเว้น</w:t>
      </w:r>
    </w:p>
    <w:p>
      <w:r>
        <w:t>ความเสี่ยงทางการเงินที่ยอมรับได้จากการประเมินโดยบริษัท Dun and Bradstreet (D&amp;B) มีดังนี้</w:t>
      </w:r>
    </w:p>
    <w:p>
      <w:r>
        <w:t>## 1.ตัวชี้วัดความเสี่ยงโดยรวม (overall risk indicator) rate 1 -3 และ;</w:t>
      </w:r>
    </w:p>
    <w:p>
      <w:r>
        <w:t>## 2.Debt to Equity (D/E) ratio ไม่เกิน 200%</w:t>
      </w:r>
    </w:p>
    <w:p>
      <w:r>
        <w:t>## กรณียกเว้นการประเมินความเสี่ยงทางการเงิน</w:t>
      </w:r>
    </w:p>
    <w:p>
      <w:r>
        <w:t>## 1.บุคคลธรรมดา</w:t>
      </w:r>
    </w:p>
    <w:p>
      <w:r>
        <w:t>## 2.สหกรณ์ ผู้จำหน่ายสินค้าวิสาหกิจชุมชนหรือผลิตภัณฑ์ท้องถิ่น (OTOP) หน่วยงานรัฐบาล และรัฐวิสาหกิจ</w:t>
      </w:r>
    </w:p>
    <w:p>
      <w:r>
        <w:t>## 3.ผู้ประกอบการวิสาหกิจขนาดกลางและขนาดย่อม (SMEs) ที่มีมูลค่าการซื้อต่อปีไม่เกิน 3 ล้านบาท</w:t>
      </w:r>
    </w:p>
    <w:p>
      <w:r>
        <w:t>## 4.บริษัทในเครือ</w:t>
      </w:r>
    </w:p>
    <w:p>
      <w:r>
        <w:t>## 5.มูลนิธิ องค์กรไม่แสวงหากำไร</w:t>
      </w:r>
    </w:p>
    <w:p>
      <w:r>
        <w:t>## เอกสารแนบ จ : วิธีการจ่ายเงิน</w:t>
      </w:r>
    </w:p>
    <w:p>
      <w:r>
        <w:t>## กรณีรับเช็ค HSBC รับที่สำนักงาน Cheque Express Center (พระราม3)</w:t>
      </w:r>
    </w:p>
    <w:p>
      <w:r>
        <w:t>## กรณีโอนเงิน เฉพาะบัญชีธนาคารไทยพาณิชย์ (SCB) เท่านั้น</w:t>
      </w:r>
    </w:p>
    <w:p>
      <w:r>
        <w:t>## กรณีโอนเงิน Bahtnet / ACH (Smart) เข้าบัญชี HSBC หรือธนาคารอื่นๆ (สำหรับคู่ค้าที่ตกลงกันเท่านั้น)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