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527DA9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527DA9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527DA9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527DA9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527DA9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Default="00AD4A72" w:rsidP="00AD4A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Default="00AD4A72" w:rsidP="00B138C5">
      <w:pPr>
        <w:rPr>
          <w:lang w:val="ru-RU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Default="001A6C8A" w:rsidP="001A6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B138C5">
      <w:pPr>
        <w:rPr>
          <w:lang w:val="ru-RU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B138C5">
      <w:pPr>
        <w:rPr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894070" w:rsidRDefault="00894070" w:rsidP="0089407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Default="00763FC3" w:rsidP="00B138C5">
      <w:pPr>
        <w:rPr>
          <w:lang w:val="ru-RU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Pr="0087633C" w:rsidRDefault="0087633C" w:rsidP="008763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Default="00826F4F" w:rsidP="00B138C5">
      <w:pPr>
        <w:rPr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2D62EA" w:rsidRDefault="002D62EA" w:rsidP="002D62E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E434EC" w:rsidRDefault="00E434EC" w:rsidP="00E434E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6B6EBB" w:rsidRDefault="006B6EBB" w:rsidP="00B138C5">
      <w:pPr>
        <w:rPr>
          <w:lang w:val="en-US"/>
        </w:rPr>
      </w:pPr>
      <w:bookmarkStart w:id="0" w:name="_GoBack"/>
      <w:bookmarkEnd w:id="0"/>
    </w:p>
    <w:p w:rsidR="006B6EBB" w:rsidRPr="00614243" w:rsidRDefault="006B6EBB" w:rsidP="00B138C5">
      <w:pPr>
        <w:rPr>
          <w:lang w:val="en-US"/>
        </w:rPr>
      </w:pPr>
    </w:p>
    <w:sectPr w:rsidR="006B6EBB" w:rsidRPr="00614243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A9" w:rsidRDefault="00527DA9" w:rsidP="00D26869">
      <w:pPr>
        <w:spacing w:after="0" w:line="240" w:lineRule="auto"/>
      </w:pPr>
      <w:r>
        <w:separator/>
      </w:r>
    </w:p>
  </w:endnote>
  <w:endnote w:type="continuationSeparator" w:id="0">
    <w:p w:rsidR="00527DA9" w:rsidRDefault="00527DA9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A9" w:rsidRDefault="00527DA9" w:rsidP="00D26869">
      <w:pPr>
        <w:spacing w:after="0" w:line="240" w:lineRule="auto"/>
      </w:pPr>
      <w:r>
        <w:separator/>
      </w:r>
    </w:p>
  </w:footnote>
  <w:footnote w:type="continuationSeparator" w:id="0">
    <w:p w:rsidR="00527DA9" w:rsidRDefault="00527DA9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27D8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45AA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1B65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67B3A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F0082D"/>
    <w:rsid w:val="00F014ED"/>
    <w:rsid w:val="00F01664"/>
    <w:rsid w:val="00F01D4F"/>
    <w:rsid w:val="00F036C1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4CDA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21763</TotalTime>
  <Pages>396</Pages>
  <Words>92609</Words>
  <Characters>527872</Characters>
  <Application>Microsoft Office Word</Application>
  <DocSecurity>0</DocSecurity>
  <Lines>4398</Lines>
  <Paragraphs>1238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1230</cp:revision>
  <dcterms:created xsi:type="dcterms:W3CDTF">2015-09-30T16:51:00Z</dcterms:created>
  <dcterms:modified xsi:type="dcterms:W3CDTF">2018-04-05T15:47:00Z</dcterms:modified>
</cp:coreProperties>
</file>