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55B"/>
          <w:sz w:val="48"/>
        </w:rPr>
        <w:t>Milestone 1 Submission</w:t>
      </w:r>
    </w:p>
    <w:p>
      <w:pPr>
        <w:jc w:val="center"/>
      </w:pPr>
      <w:r>
        <w:rPr>
          <w:color w:val="6B7280"/>
          <w:sz w:val="24"/>
        </w:rPr>
        <w:t>Insurance Price Prediction | Data Report, EDA, Preprocessing, and Insights</w:t>
      </w:r>
    </w:p>
    <w:p/>
    <w:p>
      <w:pPr>
        <w:pStyle w:val="Heading1"/>
      </w:pPr>
      <w:r>
        <w:t>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Objectives, Problem Statement, and Sub-objectives</w:t>
      </w:r>
    </w:p>
    <w:p>
      <w:pPr>
        <w:pStyle w:val="ListNumber"/>
      </w:pPr>
      <w:r>
        <w:t>Rubric Coverage Map</w:t>
      </w:r>
    </w:p>
    <w:p>
      <w:pPr>
        <w:pStyle w:val="ListNumber"/>
      </w:pPr>
      <w:r>
        <w:t>Data Report</w:t>
      </w:r>
    </w:p>
    <w:p>
      <w:pPr>
        <w:pStyle w:val="ListNumber"/>
      </w:pPr>
      <w:r>
        <w:t>Initial Exploratory Data Analysis</w:t>
      </w:r>
    </w:p>
    <w:p>
      <w:pPr>
        <w:pStyle w:val="ListNumber"/>
      </w:pPr>
      <w:r>
        <w:t>Data Pre-processing</w:t>
      </w:r>
    </w:p>
    <w:p>
      <w:pPr>
        <w:pStyle w:val="ListNumber"/>
      </w:pPr>
      <w:r>
        <w:t>Extensive Exploratory Data Analysis</w:t>
      </w:r>
    </w:p>
    <w:p>
      <w:pPr>
        <w:pStyle w:val="ListNumber"/>
      </w:pPr>
      <w:r>
        <w:t>Appendix</w:t>
      </w:r>
    </w:p>
    <w:p>
      <w:pPr>
        <w:pStyle w:val="Heading1"/>
      </w:pPr>
      <w:r>
        <w:t>Introduction</w:t>
      </w:r>
    </w:p>
    <w:p>
      <w:r>
        <w:t>The insurance pricing problem is a supervised regression problem. The business objective is to estimate insurance_cost from health, lifestyle, habit, and demographic attributes so that pricing teams can understand risk drivers and support more consistent premium estimation.</w:t>
      </w:r>
    </w:p>
    <w:p>
      <w:pPr>
        <w:pStyle w:val="Heading1"/>
      </w:pPr>
      <w:r>
        <w:t>Objectives, Problem Statement, and Sub-objectives</w:t>
      </w:r>
    </w:p>
    <w:p>
      <w:pPr>
        <w:pStyle w:val="ListBullet"/>
      </w:pPr>
      <w:r>
        <w:t>Build a clean analytical dataset from the supplied Insurance Data.csv file.</w:t>
      </w:r>
    </w:p>
    <w:p>
      <w:pPr>
        <w:pStyle w:val="ListBullet"/>
      </w:pPr>
      <w:r>
        <w:t>Identify data-quality issues including missing values, duplicate rows, inconsistent names, and outliers.</w:t>
      </w:r>
    </w:p>
    <w:p>
      <w:pPr>
        <w:pStyle w:val="ListBullet"/>
      </w:pPr>
      <w:r>
        <w:t>Engineer interpretable predictors such as admission recency, BMI category, cholesterol midpoint, and disease-history flags.</w:t>
      </w:r>
    </w:p>
    <w:p>
      <w:pPr>
        <w:pStyle w:val="ListBullet"/>
      </w:pPr>
      <w:r>
        <w:t>Use EDA to identify premium drivers and modeling risks before training predictive models.</w:t>
      </w:r>
    </w:p>
    <w:p>
      <w:pPr>
        <w:pStyle w:val="ListBullet"/>
      </w:pPr>
      <w:r>
        <w:t>Prepare a reproducible pipeline for Milestone 2 model building and deployment.</w:t>
      </w:r>
    </w:p>
    <w:p>
      <w:pPr>
        <w:pStyle w:val="Heading1"/>
      </w:pPr>
      <w:r>
        <w:t>Rubric Coverage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rubric_section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marks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rubric_requirement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evidence_file_or_chart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status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Dataset shape, rows, columns, and total cells.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outputs/tables/dataset_profile.csv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Visual inspection using head, tail, sample records, info, and summaries.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notebooks/01_milestone1_eda.ipynb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Data types, unique counts, missing values, duplicates, and variable descriptions.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outputs/tables/data_dictionary_summary.csv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Variable type classification, renaming, cleanup, and data inference.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outputs/tables/variable_type_classification.csv; outputs/tables/renaming_and_cleanup.csv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Univariate analysis for numeric variables with distribution and spread.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outputs/tables/numeric_summary.csv; outputs/figures/target_distribution.png; outputs/figures/outlier_boxplots.png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Categorical distribution for categorical, binary, and ordinal variables.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outputs/tables/categorical_frequency.csv; outputs/tables/group_summary_*.csv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Bivariate analysis and correlation analysis with insight summaries.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outputs/figures/correlation_heatmap.png; outputs/tables/feature_signal_strength.csv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Unwanted-variable removal and applicant_id treatment.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insurance_modeling.py; outputs/models/app_schema.json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Missing-value treatment for BMI and Year_last_admitted.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outputs/tables/missing_values.csv; outputs/figures/missingness_target_impact.png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Outlier treatment/retention logic, transformations, and new variables.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outputs/tables/outlier_summary.csv; outputs/tables/cleaned_analysis_data.csv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Extensive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Important-variable relationships and insightful visualizations.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outputs/figures/weight_vs_cost_jitter.png; outputs/figures/cost_by_weight_line.png; outputs/figures/cost_by_year_last_admitted.png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Extensive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Technical and business interpretation, justified inferences, conclusion, and next steps.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Milestone_1_Insurance_Price_Prediction.docx; notebooks/01_milestone1_eda.html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</w:tbl>
    <w:p/>
    <w:p>
      <w:pPr>
        <w:pStyle w:val="Heading1"/>
      </w:pPr>
      <w:r>
        <w:t>Data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Columns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Cells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600,000.0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Duplicate 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Unique applicant_id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27,147.4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median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skew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0.332</w:t>
            </w:r>
          </w:p>
        </w:tc>
      </w:tr>
    </w:tbl>
    <w:p/>
    <w:p>
      <w:r>
        <w:t>The dataset contains 25,000 unique applicants and 24 original columns. applicant_id is unique for every row and is retained only for auditability, not for modeling.</w:t>
      </w:r>
    </w:p>
    <w:p>
      <w:pPr>
        <w:pStyle w:val="Heading2"/>
      </w:pPr>
      <w:r>
        <w:t>Target Pricing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target_unique_count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54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target_grid_step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1234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target_min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2468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target_max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67870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first_10_levels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2468, 3702, 4936, 6170, 7404, 8638, 9872, 11106, 12340, 13574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last_10_levels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56764, 57998, 59232, 60466, 61700, 62934, 64168, 65402, 66636, 67870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71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price_grid_frequ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1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insurance_cost is a discrete business price grid rather than a truly continuous target.</w:t>
      </w:r>
    </w:p>
    <w:p>
      <w:r>
        <w:rPr>
          <w:b/>
        </w:rPr>
        <w:t xml:space="preserve">Technical interpretation: </w:t>
      </w:r>
      <w:r>
        <w:t>The target has 54 unique quote bands with a fixed grid step of 1,234, so regression errors should be interpreted alongside quote-band rounding.</w:t>
      </w:r>
    </w:p>
    <w:p>
      <w:r>
        <w:rPr>
          <w:b/>
        </w:rPr>
        <w:t xml:space="preserve">Business interpretation: </w:t>
      </w:r>
      <w:r>
        <w:t>The model should produce an analytical estimate and then map it to the nearest approved business quote band for presentation.</w:t>
      </w:r>
    </w:p>
    <w:p>
      <w:pPr>
        <w:pStyle w:val="Heading2"/>
      </w:pPr>
      <w:r>
        <w:t>Missing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missing_count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missing_pct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Year_last_admitted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11881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47.520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990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3.960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Only BMI and Year_last_admitted contain missing values.</w:t>
      </w:r>
    </w:p>
    <w:p>
      <w:r>
        <w:rPr>
          <w:b/>
        </w:rPr>
        <w:t xml:space="preserve">Technical interpretation: </w:t>
      </w:r>
      <w:r>
        <w:t>BMI has limited missingness, while Year_last_admitted has structural missingness for applicants without known admission history.</w:t>
      </w:r>
    </w:p>
    <w:p>
      <w:r>
        <w:rPr>
          <w:b/>
        </w:rPr>
        <w:t xml:space="preserve">Business interpretation: </w:t>
      </w:r>
      <w:r>
        <w:t>The missingness pattern should not be blanket-dropped; admission-year missingness carries customer history context.</w:t>
      </w:r>
    </w:p>
    <w:p>
      <w:pPr>
        <w:pStyle w:val="Heading2"/>
      </w:pPr>
      <w:r>
        <w:t>Variable Types and Cleanup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clean_column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dtype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missing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unique_values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25000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regular_checkup_lasy_year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6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4914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221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990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465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11881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7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role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preprocessing_action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applicant_id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for audit only; drop from modeling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years_of_insurance_with_us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regular_checkup_last_year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adventure_sports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Occupation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visited_doctor_last_1_year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cholesterol_level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ordinal category and engineer cholesterol midpoint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daily_avg_steps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age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heart_disease_history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other_major_disease_history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Gender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avg_glucose_level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bmi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create missingness flag; impute using train-fitted median logic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smoking_status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Year_last_admitted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numeric with structural missingness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create admission flags/status and recency; keep missingness signal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Location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covered_by_any_other_company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Alcohol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exercise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weight_change_in_last_one_year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fat_percentage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insurance_cost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target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as target; analyze as quote grid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original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cleaned_or_action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regular_checkup_lasy_year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Occupation value: Salried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Salaried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category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applicant_id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dropped from modeling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unique identifier, not predictive signal</w:t>
            </w:r>
          </w:p>
        </w:tc>
      </w:tr>
    </w:tbl>
    <w:p/>
    <w:p>
      <w:pPr>
        <w:pStyle w:val="Heading1"/>
      </w:pPr>
      <w:r>
        <w:t>Initial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77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insurance_cost is mildly right-skewed, with most values between roughly 16k and 37k.</w:t>
      </w:r>
    </w:p>
    <w:p>
      <w:r>
        <w:rPr>
          <w:b/>
        </w:rPr>
        <w:t xml:space="preserve">Technical interpretation: </w:t>
      </w:r>
      <w:r>
        <w:t>The target distribution is moderately concentrated with a mild right tail, and the center of the distribution is close to the median premium.</w:t>
      </w:r>
    </w:p>
    <w:p>
      <w:r>
        <w:rPr>
          <w:b/>
        </w:rPr>
        <w:t xml:space="preserve">Business interpretation: </w:t>
      </w:r>
      <w:r>
        <w:t>Most customers fall in mid-range price bands, while high-cost cases require residual and manual-review attention.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73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box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Target outliers are retained because they are valid high-cost pricing cases.</w:t>
      </w:r>
    </w:p>
    <w:p>
      <w:r>
        <w:rPr>
          <w:b/>
        </w:rPr>
        <w:t xml:space="preserve">Technical interpretation: </w:t>
      </w:r>
      <w:r>
        <w:t>Upper-tail insurance_cost values are not data errors; they align with valid quote bands and should remain in model training.</w:t>
      </w:r>
    </w:p>
    <w:p>
      <w:r>
        <w:rPr>
          <w:b/>
        </w:rPr>
        <w:t xml:space="preserve">Business interpretation: </w:t>
      </w:r>
      <w:r>
        <w:t>Removing high premiums would understate risk for customers who are expensive but legitimate pricing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correlation_with_insurance_cost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0.970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years_since_last_admitted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0.490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-0.174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visited_doctor_last_1_year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bmi_for_analysis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cholesterol_midpoint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-0.001</w:t>
            </w:r>
          </w:p>
        </w:tc>
      </w:tr>
    </w:tbl>
    <w:p/>
    <w:p>
      <w:pPr>
        <w:pStyle w:val="ListBullet"/>
      </w:pPr>
      <w:r>
        <w:t>The target mean and median are nearly equal, while skew is modest at about 0.33.</w:t>
      </w:r>
    </w:p>
    <w:p>
      <w:pPr>
        <w:pStyle w:val="ListBullet"/>
      </w:pPr>
      <w:r>
        <w:t>Weight is the dominant marginal pricing signal; a weight-only relationship explains much of the target variation.</w:t>
      </w:r>
    </w:p>
    <w:p>
      <w:pPr>
        <w:pStyle w:val="ListBullet"/>
      </w:pPr>
      <w:r>
        <w:t>Other-company coverage, admission history, regular checkups, weight change, and adventure sports are stronger observed categorical or ordinal signals than smoking, alcohol, exercise, and disease-history flags.</w:t>
      </w:r>
    </w:p>
    <w:p>
      <w:pPr>
        <w:pStyle w:val="ListBullet"/>
      </w:pPr>
      <w:r>
        <w:t>No duplicate applicant records were detected.</w:t>
      </w:r>
    </w:p>
    <w:p>
      <w:pPr>
        <w:pStyle w:val="ListBullet"/>
      </w:pPr>
      <w:r>
        <w:t>Unknown smoking status is treated as a valid business category rather than a missing value.</w:t>
      </w:r>
    </w:p>
    <w:p>
      <w:pPr>
        <w:pStyle w:val="Heading1"/>
      </w:pPr>
      <w:r>
        <w:t>Data Pre-processing</w:t>
      </w:r>
    </w:p>
    <w:p>
      <w:pPr>
        <w:pStyle w:val="ListBullet"/>
      </w:pPr>
      <w:r>
        <w:t>Renamed misspelled columns: regular_checkup_lasy_year, heart_decs_history, and other_major_decs_history.</w:t>
      </w:r>
    </w:p>
    <w:p>
      <w:pPr>
        <w:pStyle w:val="ListBullet"/>
      </w:pPr>
      <w:r>
        <w:t>Corrected Occupation value Salried to Salaried.</w:t>
      </w:r>
    </w:p>
    <w:p>
      <w:pPr>
        <w:pStyle w:val="ListBullet"/>
      </w:pPr>
      <w:r>
        <w:t>Dropped applicant_id from the modeling feature set because it is a unique identifier.</w:t>
      </w:r>
    </w:p>
    <w:p>
      <w:pPr>
        <w:pStyle w:val="ListBullet"/>
      </w:pPr>
      <w:r>
        <w:t>Created BMI and admission-year missingness flags before imputation so missingness can carry signal when relevant.</w:t>
      </w:r>
    </w:p>
    <w:p>
      <w:pPr>
        <w:pStyle w:val="ListBullet"/>
      </w:pPr>
      <w:r>
        <w:t>Imputed BMI using median values by age band and gender for EDA. The sklearn modeling pipeline fits the same logic only on training data.</w:t>
      </w:r>
    </w:p>
    <w:p>
      <w:pPr>
        <w:pStyle w:val="ListBullet"/>
      </w:pPr>
      <w:r>
        <w:t>Converted Year_last_admitted into was_admitted_before, admission_year_missing_flag, admission_status, and years_since_last_admitted using reference_year=2019. Missing admission years are not treated as ordinary numeric values.</w:t>
      </w:r>
    </w:p>
    <w:p>
      <w:pPr>
        <w:pStyle w:val="ListBullet"/>
      </w:pPr>
      <w:r>
        <w:t>Created cholesterol_midpoint from ordinal cholesterol ranges.</w:t>
      </w:r>
    </w:p>
    <w:p>
      <w:pPr>
        <w:pStyle w:val="ListBullet"/>
      </w:pPr>
      <w:r>
        <w:t>Engineered age_band, bmi_category, any_major_disease_history, weight_bmi_interaction, and steps_per_age.</w:t>
      </w:r>
    </w:p>
    <w:p>
      <w:pPr>
        <w:pStyle w:val="ListBullet"/>
      </w:pPr>
      <w:r>
        <w:t>Capped extremely high BMI values for analysis at the 99.5th percentile while retaining target outliers.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q1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q3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iqr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lower_fence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upper_fence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outlier_count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outlier_pct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26.100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35.600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49.850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549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2.290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78.000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43.000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99.000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222.0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109.0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-50.500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385.5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4,543.0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5,730.0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1,187.0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2,762.5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7,510.5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952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3.810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21.000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36.000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15.000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58.500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insurance_cost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16,042.0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37,020.0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20,978.0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-15,425.0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68,487.0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88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IQR outlier review for important numeric variables.</w:t>
      </w:r>
    </w:p>
    <w:p>
      <w:r>
        <w:rPr>
          <w:b/>
        </w:rPr>
        <w:t xml:space="preserve">Technical interpretation: </w:t>
      </w:r>
      <w:r>
        <w:t>Numeric outlier checks show valid spread in cost, weight, glucose, steps, fat percentage, and BMI after analysis capping.</w:t>
      </w:r>
    </w:p>
    <w:p>
      <w:r>
        <w:rPr>
          <w:b/>
        </w:rPr>
        <w:t xml:space="preserve">Business interpretation: </w:t>
      </w:r>
      <w:r>
        <w:t>The project keeps real applicant variation while only stabilizing extreme BMI values for analysis and modeling.</w:t>
      </w:r>
    </w:p>
    <w:p>
      <w:pPr>
        <w:pStyle w:val="Heading1"/>
      </w:pPr>
      <w:r>
        <w:t>Extensive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Correlation view across numeric and engineered variables.</w:t>
      </w:r>
    </w:p>
    <w:p>
      <w:r>
        <w:rPr>
          <w:b/>
        </w:rPr>
        <w:t xml:space="preserve">Technical interpretation: </w:t>
      </w:r>
      <w:r>
        <w:t>The heatmap shows weight as the strongest marginal numeric relationship; many clinical and habit variables have weak standalone correlations.</w:t>
      </w:r>
    </w:p>
    <w:p>
      <w:r>
        <w:rPr>
          <w:b/>
        </w:rPr>
        <w:t xml:space="preserve">Business interpretation: </w:t>
      </w:r>
      <w:r>
        <w:t>Pricing discussion should prioritize dominant observed drivers but retain weak variables for interaction and monitoring checks.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ght_vs_cost_jit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 dominates the target relationship and aligns closely with the discrete price bands.</w:t>
      </w:r>
    </w:p>
    <w:p>
      <w:r>
        <w:rPr>
          <w:b/>
        </w:rPr>
        <w:t xml:space="preserve">Technical interpretation: </w:t>
      </w:r>
      <w:r>
        <w:t>The jittered scatter separates overlapping quote-grid points and reveals a clear upward cost pattern as weight increases.</w:t>
      </w:r>
    </w:p>
    <w:p>
      <w:r>
        <w:rPr>
          <w:b/>
        </w:rPr>
        <w:t xml:space="preserve">Business interpretation: </w:t>
      </w:r>
      <w:r>
        <w:t>Weight is the most visible pricing driver in this dataset and must be validated against business policy before operational use.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825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2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insurance cost rises sharply with weight.</w:t>
      </w:r>
    </w:p>
    <w:p>
      <w:r>
        <w:rPr>
          <w:b/>
        </w:rPr>
        <w:t xml:space="preserve">Technical interpretation: </w:t>
      </w:r>
      <w:r>
        <w:t>Mean premium increases monotonically across much of the weight range, indicating a strong nonlinear pricing gradient.</w:t>
      </w:r>
    </w:p>
    <w:p>
      <w:r>
        <w:rPr>
          <w:b/>
        </w:rPr>
        <w:t xml:space="preserve">Business interpretation: </w:t>
      </w:r>
      <w:r>
        <w:t>Applicants in higher weight ranges are likely to receive higher model estimates, so segment-level fairness and policy checks matter.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789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ba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8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Weight-band summaries show the main pricing gradient.</w:t>
      </w:r>
    </w:p>
    <w:p>
      <w:r>
        <w:rPr>
          <w:b/>
        </w:rPr>
        <w:t xml:space="preserve">Technical interpretation: </w:t>
      </w:r>
      <w:r>
        <w:t>Weight bands reduce point-level noise and confirm that the weight-cost relationship is not driven by only a few individual records.</w:t>
      </w:r>
    </w:p>
    <w:p>
      <w:r>
        <w:rPr>
          <w:b/>
        </w:rPr>
        <w:t xml:space="preserve">Business interpretation: </w:t>
      </w:r>
      <w:r>
        <w:t>Business users can understand the model's main driver through banded summaries instead of raw scatter alone.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770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year_last_admit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Admission year is an important risk-history signal among applicants with known admission history.</w:t>
      </w:r>
    </w:p>
    <w:p>
      <w:r>
        <w:rPr>
          <w:b/>
        </w:rPr>
        <w:t xml:space="preserve">Technical interpretation: </w:t>
      </w:r>
      <w:r>
        <w:t>Admission year has an ordered association with average premium among applicants with a known admission date.</w:t>
      </w:r>
    </w:p>
    <w:p>
      <w:r>
        <w:rPr>
          <w:b/>
        </w:rPr>
        <w:t xml:space="preserve">Business interpretation: </w:t>
      </w:r>
      <w:r>
        <w:t>Recent or known admissions may flag underwriting review needs, but the model should not treat missing years as ordinary zeros.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07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dmission_statu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0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Missing or absent admission history is separated from known prior admission cases.</w:t>
      </w:r>
    </w:p>
    <w:p>
      <w:r>
        <w:rPr>
          <w:b/>
        </w:rPr>
        <w:t xml:space="preserve">Technical interpretation: </w:t>
      </w:r>
      <w:r>
        <w:t>Admission status separates no known admission, missing year, and known admission history so the model can learn structural differences.</w:t>
      </w:r>
    </w:p>
    <w:p>
      <w:r>
        <w:rPr>
          <w:b/>
        </w:rPr>
        <w:t xml:space="preserve">Business interpretation: </w:t>
      </w:r>
      <w:r>
        <w:t>This prevents applicants without admission records from being incorrectly grouped with applicants admitted in an arbitrary year.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07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regular_checkup_last_ye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0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Regular-checkup counts show a stronger ordinal signal than many lifestyle flags.</w:t>
      </w:r>
    </w:p>
    <w:p>
      <w:r>
        <w:rPr>
          <w:b/>
        </w:rPr>
        <w:t xml:space="preserve">Technical interpretation: </w:t>
      </w:r>
      <w:r>
        <w:t>Regular checkup count has a clearer ordinal target pattern than several binary habit flags.</w:t>
      </w:r>
    </w:p>
    <w:p>
      <w:r>
        <w:rPr>
          <w:b/>
        </w:rPr>
        <w:t xml:space="preserve">Business interpretation: </w:t>
      </w:r>
      <w:r>
        <w:t>Preventive-care behavior may help segment applicants, though the relationship should be treated as association rather than causation.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07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chan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0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Weight-change categories show a strong observed pattern; this should be interpreted as association, not causation.</w:t>
      </w:r>
    </w:p>
    <w:p>
      <w:r>
        <w:rPr>
          <w:b/>
        </w:rPr>
        <w:t xml:space="preserve">Technical interpretation: </w:t>
      </w:r>
      <w:r>
        <w:t>Weight-change categories produce a sizable target mean range, making them a useful engineered ordinal feature.</w:t>
      </w:r>
    </w:p>
    <w:p>
      <w:r>
        <w:rPr>
          <w:b/>
        </w:rPr>
        <w:t xml:space="preserve">Business interpretation: </w:t>
      </w:r>
      <w:r>
        <w:t>Weight-change history can support risk segmentation, but business recommendations should avoid claiming it directly causes premium movement.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70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ness_target_impa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Missingness itself affects target means for BMI and admission year.</w:t>
      </w:r>
    </w:p>
    <w:p>
      <w:r>
        <w:rPr>
          <w:b/>
        </w:rPr>
        <w:t xml:space="preserve">Technical interpretation: </w:t>
      </w:r>
      <w:r>
        <w:t>Target means differ between missing and present groups, which justifies explicit missingness flags before imputation.</w:t>
      </w:r>
    </w:p>
    <w:p>
      <w:r>
        <w:rPr>
          <w:b/>
        </w:rPr>
        <w:t xml:space="preserve">Business interpretation: </w:t>
      </w:r>
      <w:r>
        <w:t>Retaining missingness indicators helps the deployment model handle incomplete applications more consistently.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feature_type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target_mean_range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correlation_or_eta_squared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statistic_name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business_interpretation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46,308.6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0.970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numeric_missing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36,072.7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0.415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years_since_last_admitted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numeric_engineered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30,329.2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0.490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ordinal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24,877.8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0.180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ordinal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8,606.3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0.034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3,898.6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3,166.6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0.010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bmi_for_analysis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1,072.6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cholesterol_midpoint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897.1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792.7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642.7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388.4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312.3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287.8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other_major_disease_history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109.2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heart_disease_history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28.040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</w:tbl>
    <w:p/>
    <w:p>
      <w:pPr>
        <w:pStyle w:val="ListBullet"/>
      </w:pPr>
      <w:r>
        <w:t>The strongest observed drivers are weight, admission recency/year, other-company coverage, regular checkups, weight change, and adventure sports.</w:t>
      </w:r>
    </w:p>
    <w:p>
      <w:pPr>
        <w:pStyle w:val="ListBullet"/>
      </w:pPr>
      <w:r>
        <w:t>Smoking, alcohol, exercise, age, BMI, glucose, cholesterol, and disease-history variables show weak marginal effects in this dataset but remain useful for interaction checks, fairness review, and monitoring.</w:t>
      </w:r>
    </w:p>
    <w:p>
      <w:pPr>
        <w:pStyle w:val="ListBullet"/>
      </w:pPr>
      <w:r>
        <w:t>BMI, weight, glucose, and fat percentage are related but not interchangeable; multicollinearity should be handled by regularization or tree ensembles rather than manually dropping fields too early.</w:t>
      </w:r>
    </w:p>
    <w:p>
      <w:pPr>
        <w:pStyle w:val="ListBullet"/>
      </w:pPr>
      <w:r>
        <w:t>Other coverage and admission-history features may reflect customer risk profile and require careful business interpretation.</w:t>
      </w:r>
    </w:p>
    <w:p>
      <w:pPr>
        <w:pStyle w:val="Heading2"/>
      </w:pPr>
      <w:r>
        <w:t>EDA Conclusion and Further Steps</w:t>
      </w:r>
    </w:p>
    <w:p>
      <w:pPr>
        <w:pStyle w:val="ListBullet"/>
      </w:pPr>
      <w:r>
        <w:t>Conclusion: the dataset is complete enough for modeling after targeted BMI/admission-history treatment, and the target behaves like a discrete quote grid with clear pricing bands.</w:t>
      </w:r>
    </w:p>
    <w:p>
      <w:pPr>
        <w:pStyle w:val="ListBullet"/>
      </w:pPr>
      <w:r>
        <w:t>Conclusion: weight is the dominant observed signal, while admission recency, coverage, regular checkups, weight change, and adventure sports provide the next strongest pricing context.</w:t>
      </w:r>
    </w:p>
    <w:p>
      <w:pPr>
        <w:pStyle w:val="ListBullet"/>
      </w:pPr>
      <w:r>
        <w:t>Further step: carry the cleaned and engineered data into Milestone 2 with target-band stratified splitting, cross-validation, final model selection, explainability, and deployment checks.</w:t>
      </w:r>
    </w:p>
    <w:p>
      <w:pPr>
        <w:pStyle w:val="ListBullet"/>
      </w:pPr>
      <w:r>
        <w:t>Further step: validate dominant drivers with business stakeholders before interpreting them as underwriting policy or causal effects.</w:t>
      </w:r>
    </w:p>
    <w:p>
      <w:pPr>
        <w:pStyle w:val="Heading1"/>
      </w:pPr>
      <w:r>
        <w:t>Appendix</w:t>
      </w:r>
    </w:p>
    <w:p>
      <w:pPr>
        <w:pStyle w:val="Heading2"/>
      </w:pPr>
      <w:r>
        <w:t>Selected Group Summaries</w:t>
      </w:r>
    </w:p>
    <w:p>
      <w:pPr>
        <w:pStyle w:val="Heading3"/>
      </w:pPr>
      <w:r>
        <w:t>covered_by_any_other_company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covered_by_any_other_company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7582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29,353.6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17418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26,187.0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25,914.0</w:t>
            </w:r>
          </w:p>
        </w:tc>
      </w:tr>
    </w:tbl>
    <w:p/>
    <w:p>
      <w:pPr>
        <w:pStyle w:val="Heading3"/>
      </w:pPr>
      <w:r>
        <w:t>regular_checkup_last_year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regular_checkup_last_year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15,215.0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29,002.8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4,644.0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26,214.8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24,680.0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777.0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23,530.2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24,680.0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2,198.0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23,143.4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22,212.0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3.000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1,818.0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21,681.2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22,212.0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348.0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20,396.5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20,361.0</w:t>
            </w:r>
          </w:p>
        </w:tc>
      </w:tr>
    </w:tbl>
    <w:p/>
    <w:p>
      <w:pPr>
        <w:pStyle w:val="Heading3"/>
      </w:pPr>
      <w:r>
        <w:t>weight_change_in_last_one_year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weight_change_in_last_one_year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4,037.0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31,452.8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4,012.0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31,102.2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3,925.0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31,005.6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3.000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5,006.0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27,166.2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5,076.0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26,460.7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25,914.0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2,036.0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14,220.1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11,106.0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908.0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6,575.0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6,170.0</w:t>
            </w:r>
          </w:p>
        </w:tc>
      </w:tr>
    </w:tbl>
    <w:p/>
    <w:p>
      <w:pPr>
        <w:pStyle w:val="Heading3"/>
      </w:pPr>
      <w:r>
        <w:t>admission_status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admission_status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Previously admitted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13119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29,384.5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 known admission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11881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24,677.2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23,446.0</w:t>
            </w:r>
          </w:p>
        </w:tc>
      </w:tr>
    </w:tbl>
    <w:p/>
    <w:p>
      <w:pPr>
        <w:pStyle w:val="Heading3"/>
      </w:pPr>
      <w:r>
        <w:t>smoking_status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smoking_status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Unknown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7555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27,343.5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never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9249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27,080.4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formerly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smokes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3867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27,031.2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exercise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exercise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14638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27,273.4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Extreme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5248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27,051.8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5114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26,885.0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Alcohol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Alcohol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8541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27,253.5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Rare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13752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27,117.3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Daily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2707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26,965.7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bmi_category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bmi_category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Underweight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27,912.2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Normal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4315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27,393.4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Overweight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6629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27,242.6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Obese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13578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26,995.9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other_cover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other-company coverage.</w:t>
      </w:r>
    </w:p>
    <w:p>
      <w:r>
        <w:rPr>
          <w:b/>
        </w:rPr>
        <w:t xml:space="preserve">Technical interpretation: </w:t>
      </w:r>
      <w:r>
        <w:t>Other-company coverage has a meaningful target difference and appears among the stronger non-weight EDA signals.</w:t>
      </w:r>
    </w:p>
    <w:p>
      <w:r>
        <w:rPr>
          <w:b/>
        </w:rPr>
        <w:t xml:space="preserve">Business interpretation: </w:t>
      </w:r>
      <w:r>
        <w:t>Coverage status may proxy applicant history or insurance behavior, so it should be explained carefully in reviewer-facing material.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lcoho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alcohol consumption.</w:t>
      </w:r>
    </w:p>
    <w:p>
      <w:r>
        <w:rPr>
          <w:b/>
        </w:rPr>
        <w:t xml:space="preserve">Technical interpretation: </w:t>
      </w:r>
      <w:r>
        <w:t>Alcohol categories show only weak marginal separation compared with weight and admission-related features.</w:t>
      </w:r>
    </w:p>
    <w:p>
      <w:r>
        <w:rPr>
          <w:b/>
        </w:rPr>
        <w:t xml:space="preserve">Business interpretation: </w:t>
      </w:r>
      <w:r>
        <w:t>Alcohol should not be overstated as a standalone premium driver in this dataset.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dventure_spor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adventure sports flag.</w:t>
      </w:r>
    </w:p>
    <w:p>
      <w:r>
        <w:rPr>
          <w:b/>
        </w:rPr>
        <w:t xml:space="preserve">Technical interpretation: </w:t>
      </w:r>
      <w:r>
        <w:t>Adventure sports produces a clearer group difference than many other habit indicators and remains a useful risk flag.</w:t>
      </w:r>
    </w:p>
    <w:p>
      <w:r>
        <w:rPr>
          <w:b/>
        </w:rPr>
        <w:t xml:space="preserve">Business interpretation: </w:t>
      </w:r>
      <w:r>
        <w:t>The business can use this feature for risk context, while still avoiding an automatic underwriting conclusion from one flag.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exerci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exercise category.</w:t>
      </w:r>
    </w:p>
    <w:p>
      <w:r>
        <w:rPr>
          <w:b/>
        </w:rPr>
        <w:t xml:space="preserve">Technical interpretation: </w:t>
      </w:r>
      <w:r>
        <w:t>Exercise has weak marginal separation and does not rank among the strongest standalone signals.</w:t>
      </w:r>
    </w:p>
    <w:p>
      <w:r>
        <w:rPr>
          <w:b/>
        </w:rPr>
        <w:t xml:space="preserve">Business interpretation: </w:t>
      </w:r>
      <w:r>
        <w:t>Exercise is better framed as supporting context than as a major pricing driver.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smok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smoking status.</w:t>
      </w:r>
    </w:p>
    <w:p>
      <w:r>
        <w:rPr>
          <w:b/>
        </w:rPr>
        <w:t xml:space="preserve">Technical interpretation: </w:t>
      </w:r>
      <w:r>
        <w:t>Smoking status has weaker marginal separation than expected in this dataset and includes an explicit Unknown category.</w:t>
      </w:r>
    </w:p>
    <w:p>
      <w:r>
        <w:rPr>
          <w:b/>
        </w:rPr>
        <w:t xml:space="preserve">Business interpretation: </w:t>
      </w:r>
      <w:r>
        <w:t>The report should be honest that smoking is not a leading standalone signal here, even if it remains business-relevant.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bmi_catego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BMI category.</w:t>
      </w:r>
    </w:p>
    <w:p>
      <w:r>
        <w:rPr>
          <w:b/>
        </w:rPr>
        <w:t xml:space="preserve">Technical interpretation: </w:t>
      </w:r>
      <w:r>
        <w:t>BMI categories are useful for descriptive segmentation but are weaker than weight as a marginal cost signal.</w:t>
      </w:r>
    </w:p>
    <w:p>
      <w:r>
        <w:rPr>
          <w:b/>
        </w:rPr>
        <w:t xml:space="preserve">Business interpretation: </w:t>
      </w:r>
      <w:r>
        <w:t>BMI remains useful for health context, yet weight is the dominant observed pricing gradient in the supplied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1831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age_bmi_heatma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cost by age band and BMI category.</w:t>
      </w:r>
    </w:p>
    <w:p>
      <w:r>
        <w:rPr>
          <w:b/>
        </w:rPr>
        <w:t xml:space="preserve">Technical interpretation: </w:t>
      </w:r>
      <w:r>
        <w:t>The age and BMI heatmap checks multivariate segmentation rather than relying on one variable at a time.</w:t>
      </w:r>
    </w:p>
    <w:p>
      <w:r>
        <w:rPr>
          <w:b/>
        </w:rPr>
        <w:t xml:space="preserve">Business interpretation: </w:t>
      </w:r>
      <w:r>
        <w:t>Segment views help reviewers see whether weak marginal effects become meaningful when combined with other applicant characteristics.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89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combined_risk_band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cost by medical and lifestyle risk bands.</w:t>
      </w:r>
    </w:p>
    <w:p>
      <w:r>
        <w:rPr>
          <w:b/>
        </w:rPr>
        <w:t xml:space="preserve">Technical interpretation: </w:t>
      </w:r>
      <w:r>
        <w:t>Combined risk bands summarize engineered medical and lifestyle signals and show whether risk scoring adds segmentation value.</w:t>
      </w:r>
    </w:p>
    <w:p>
      <w:r>
        <w:rPr>
          <w:b/>
        </w:rPr>
        <w:t xml:space="preserve">Business interpretation: </w:t>
      </w:r>
      <w:r>
        <w:t>This gives business stakeholders a higher-level explanation layer beyond individual raw fields.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Insurance Price Prediction Capstone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