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1F5C3F"/>
          <w:sz w:val="56"/>
          <w:szCs w:val="56"/>
        </w:rPr>
        <w:t xml:space="preserve">SUSTAINABILITY DATA STRATEGY</w:t>
      </w:r>
    </w:p>
    <w:p>
      <w:pPr>
        <w:pBdr>
          <w:bottom w:val="single" w:color="1F5C3F" w:sz="12" w:space="12"/>
        </w:pBdr>
        <w:spacing w:after="480"/>
      </w:pPr>
      <w:r>
        <w:rPr>
          <w:color w:val="595959"/>
          <w:sz w:val="28"/>
          <w:szCs w:val="28"/>
        </w:rPr>
        <w:t xml:space="preserve">A strategic plan for assessing Environmental, Social and Governance (ESG) performance using publicly available data</w:t>
      </w:r>
    </w:p>
    <w:p>
      <w:pPr>
        <w:spacing w:after="300"/>
      </w:pPr>
    </w:p>
    <w:p>
      <w:pPr>
        <w:spacing w:after="100"/>
      </w:pPr>
      <w:r>
        <w:rPr>
          <w:b/>
          <w:bCs/>
          <w:sz w:val="22"/>
          <w:szCs w:val="22"/>
        </w:rPr>
        <w:t xml:space="preserve">Document:  </w:t>
      </w:r>
      <w:r>
        <w:rPr>
          <w:sz w:val="22"/>
          <w:szCs w:val="22"/>
        </w:rPr>
        <w:t xml:space="preserve">Week 1 Task – Sustainability Data Strategy Planning</w:t>
      </w:r>
    </w:p>
    <w:p>
      <w:pPr>
        <w:spacing w:after="100"/>
      </w:pPr>
      <w:r>
        <w:rPr>
          <w:b/>
          <w:bCs/>
          <w:sz w:val="22"/>
          <w:szCs w:val="22"/>
        </w:rPr>
        <w:t xml:space="preserve">Prepared by:  </w:t>
      </w:r>
      <w:r>
        <w:rPr>
          <w:sz w:val="22"/>
          <w:szCs w:val="22"/>
        </w:rPr>
        <w:t xml:space="preserve">Virtual Sustainability Data Analyst Intern</w:t>
      </w:r>
    </w:p>
    <w:p>
      <w:pPr>
        <w:spacing w:after="100"/>
      </w:pPr>
      <w:r>
        <w:rPr>
          <w:b/>
          <w:bCs/>
          <w:sz w:val="22"/>
          <w:szCs w:val="22"/>
        </w:rPr>
        <w:t xml:space="preserve">Date:  </w:t>
      </w:r>
      <w:r>
        <w:rPr>
          <w:sz w:val="22"/>
          <w:szCs w:val="22"/>
        </w:rPr>
        <w:t xml:space="preserve">4 October 2026</w:t>
      </w:r>
    </w:p>
    <w:p>
      <w:pPr>
        <w:spacing w:after="100"/>
      </w:pPr>
      <w:r>
        <w:rPr>
          <w:b/>
          <w:bCs/>
          <w:sz w:val="22"/>
          <w:szCs w:val="22"/>
        </w:rPr>
        <w:t xml:space="preserve">Version:  </w:t>
      </w:r>
      <w:r>
        <w:rPr>
          <w:sz w:val="22"/>
          <w:szCs w:val="22"/>
        </w:rPr>
        <w:t xml:space="preserve">1.0 – for review</w:t>
      </w:r>
    </w:p>
    <w:p>
      <w:pPr>
        <w:spacing w:after="100"/>
      </w:pPr>
      <w:r>
        <w:rPr>
          <w:b/>
          <w:bCs/>
          <w:sz w:val="22"/>
          <w:szCs w:val="22"/>
        </w:rPr>
        <w:t xml:space="preserve">Planning horizon:  </w:t>
      </w:r>
      <w:r>
        <w:rPr>
          <w:sz w:val="22"/>
          <w:szCs w:val="22"/>
        </w:rPr>
        <w:t xml:space="preserve">Mobilisation from 12 October 2026; baseline year FY 2025-26 (April 2025 – March 2026)</w:t>
      </w:r>
    </w:p>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5C3F" w:sz="24"/>
              <w:bottom w:val="single" w:color="BFBFBF" w:sz="4"/>
              <w:right w:val="single" w:color="BFBFBF" w:sz="4"/>
            </w:tcBorders>
            <w:shd w:fill="FFF4DD" w:color="auto" w:val="clear"/>
            <w:tcMar>
              <w:top w:type="dxa" w:w="100"/>
              <w:left w:type="dxa" w:w="180"/>
              <w:bottom w:type="dxa" w:w="100"/>
              <w:right w:type="dxa" w:w="160"/>
            </w:tcMar>
          </w:tcPr>
          <w:p>
            <w:pPr>
              <w:spacing w:after="60"/>
            </w:pPr>
            <w:r>
              <w:rPr>
                <w:b/>
                <w:bCs/>
                <w:color w:val="1F5C3F"/>
                <w:sz w:val="20"/>
                <w:szCs w:val="20"/>
              </w:rPr>
              <w:t xml:space="preserve">Reading note</w:t>
            </w:r>
          </w:p>
          <w:p>
            <w:pPr>
              <w:spacing w:after="60" w:line="264"/>
            </w:pPr>
            <w:r>
              <w:rPr>
                <w:sz w:val="19"/>
                <w:szCs w:val="19"/>
              </w:rPr>
              <w:t xml:space="preserve">Regulatory and market facts in this report were checked against web sources in early October 2026. Several of those are law-firm, consultancy or vendor summaries rather than primary legal texts, so items marked “verify” should be confirmed against the official source before they are relied on externally.</w:t>
            </w:r>
          </w:p>
        </w:tc>
      </w:tr>
    </w:tbl>
    <w:p>
      <w:pPr>
        <w:pStyle w:val="Heading1"/>
        <w:pageBreakBefore/>
      </w:pPr>
      <w:r>
        <w:t xml:space="preserve">Contents</w:t>
      </w:r>
    </w:p>
    <w:p>
      <w:pPr>
        <w:spacing w:after="90" w:before="0" w:line="276"/>
      </w:pPr>
      <w:r>
        <w:t xml:space="preserve">Executive Summary</w:t>
      </w:r>
    </w:p>
    <w:p>
      <w:pPr>
        <w:spacing w:after="90" w:before="0" w:line="276"/>
      </w:pPr>
      <w:r>
        <w:t xml:space="preserve">1. Introduction and Background</w:t>
      </w:r>
    </w:p>
    <w:p>
      <w:pPr>
        <w:spacing w:after="90" w:before="0" w:line="276"/>
      </w:pPr>
      <w:r>
        <w:t xml:space="preserve">2. Research: Public Data Sources</w:t>
      </w:r>
    </w:p>
    <w:p>
      <w:pPr>
        <w:spacing w:after="90" w:before="0" w:line="276"/>
      </w:pPr>
      <w:r>
        <w:t xml:space="preserve">3. Strategy Development: Scope, Metrics and KPIs</w:t>
      </w:r>
    </w:p>
    <w:p>
      <w:pPr>
        <w:spacing w:after="90" w:before="0" w:line="276"/>
      </w:pPr>
      <w:r>
        <w:t xml:space="preserve">4. Timeline and Action Plan</w:t>
      </w:r>
    </w:p>
    <w:p>
      <w:pPr>
        <w:spacing w:after="90" w:before="0" w:line="276"/>
      </w:pPr>
      <w:r>
        <w:t xml:space="preserve">5. Methodology: Collection, Quality Assurance, Validation and Risk</w:t>
      </w:r>
    </w:p>
    <w:p>
      <w:pPr>
        <w:spacing w:after="90" w:before="0" w:line="276"/>
      </w:pPr>
      <w:r>
        <w:t xml:space="preserve">6. Conclusion</w:t>
      </w:r>
    </w:p>
    <w:p>
      <w:pPr>
        <w:spacing w:after="90" w:before="0" w:line="276"/>
      </w:pPr>
      <w:r>
        <w:t xml:space="preserve">Appendix A – Draft Data Dictionary (extract)</w:t>
      </w:r>
    </w:p>
    <w:p>
      <w:pPr>
        <w:spacing w:after="90" w:before="0" w:line="276"/>
      </w:pPr>
      <w:r>
        <w:t xml:space="preserve">Appendix B – Glossary</w:t>
      </w:r>
    </w:p>
    <w:p>
      <w:pPr>
        <w:spacing w:after="90" w:before="0" w:line="276"/>
      </w:pPr>
      <w:r>
        <w:t xml:space="preserve">Sources</w:t>
      </w:r>
    </w:p>
    <w:p>
      <w:pPr>
        <w:pStyle w:val="Heading1"/>
        <w:pageBreakBefore/>
      </w:pPr>
      <w:r>
        <w:t xml:space="preserve">Executive Summary</w:t>
      </w:r>
    </w:p>
    <w:p>
      <w:pPr>
        <w:spacing w:after="120" w:before="0" w:line="276"/>
      </w:pPr>
      <w:r>
        <w:t xml:space="preserve"/>
      </w:r>
      <w:r>
        <w:rPr>
          <w:b/>
          <w:bCs/>
        </w:rPr>
        <w:t xml:space="preserve">Purpose.</w:t>
      </w:r>
      <w:r>
        <w:t xml:space="preserve"> This report sets out how the Organization will build a repeatable, evidence-based way of measuring ESG performance. It identifies which sustainability metrics matter, where credible public data can be sourced, which initial KPIs should be tracked, and how the work will be planned, quality-checked and risk-managed.</w:t>
      </w:r>
    </w:p>
    <w:p>
      <w:pPr>
        <w:spacing w:after="120" w:before="0" w:line="276"/>
      </w:pPr>
      <w:r>
        <w:t xml:space="preserve"/>
      </w:r>
      <w:r>
        <w:rPr>
          <w:b/>
          <w:bCs/>
        </w:rPr>
        <w:t xml:space="preserve">Why now.</w:t>
      </w:r>
      <w:r>
        <w:t xml:space="preserve"> Sustainability reporting has moved from voluntary narrative to regulated, assurable data. As of 22 July 2026, 35 jurisdictions had adopted the ISSB standards on a voluntary or mandatory basis. India’s BRSR Core framework reaches the top 1,000 listed companies in FY 2026-27, and the EU’s Omnibus I package has narrowed CSRD scope while keeping climate disclosure at its core. A common thread runs through all of them: numbers must be traceable, consistent and defensible.</w:t>
      </w:r>
    </w:p>
    <w:p>
      <w:pPr>
        <w:pStyle w:val="Heading3"/>
      </w:pPr>
      <w:r>
        <w:t xml:space="preserve">Key strategic points</w:t>
      </w:r>
    </w:p>
    <w:p>
      <w:pPr>
        <w:pStyle w:val="ListParagraph"/>
        <w:numPr>
          <w:ilvl w:val="0"/>
          <w:numId w:val="2"/>
        </w:numPr>
        <w:spacing w:after="70" w:line="270"/>
      </w:pPr>
      <w:r>
        <w:t xml:space="preserve"/>
      </w:r>
      <w:r>
        <w:rPr>
          <w:b/>
          <w:bCs/>
        </w:rPr>
        <w:t xml:space="preserve">Start from decisions, not data.</w:t>
      </w:r>
      <w:r>
        <w:t xml:space="preserve"> Metrics are chosen through a materiality screen so that every KPI supports a named decision (e.g. energy procurement, supplier engagement, safety investment).</w:t>
      </w:r>
    </w:p>
    <w:p>
      <w:pPr>
        <w:pStyle w:val="ListParagraph"/>
        <w:numPr>
          <w:ilvl w:val="0"/>
          <w:numId w:val="2"/>
        </w:numPr>
        <w:spacing w:after="70" w:line="270"/>
      </w:pPr>
      <w:r>
        <w:t xml:space="preserve"/>
      </w:r>
      <w:r>
        <w:rPr>
          <w:b/>
          <w:bCs/>
        </w:rPr>
        <w:t xml:space="preserve">Anchor on three reference frameworks.</w:t>
      </w:r>
      <w:r>
        <w:t xml:space="preserve"> GRI (impact), ISSB/SASB (investor relevance) and BRSR Core (India regulatory fit). One data model feeds all three, so the Organization collects once and reports many times.</w:t>
      </w:r>
    </w:p>
    <w:p>
      <w:pPr>
        <w:pStyle w:val="ListParagraph"/>
        <w:numPr>
          <w:ilvl w:val="0"/>
          <w:numId w:val="2"/>
        </w:numPr>
        <w:spacing w:after="70" w:line="270"/>
      </w:pPr>
      <w:r>
        <w:t xml:space="preserve"/>
      </w:r>
      <w:r>
        <w:rPr>
          <w:b/>
          <w:bCs/>
        </w:rPr>
        <w:t xml:space="preserve">Use public data for context, internal data for performance.</w:t>
      </w:r>
      <w:r>
        <w:t xml:space="preserve"> Public sources (World Bank, UN SDG database, IEA, Climate TRACE, WRI Aqueduct, CDP, regulator filings, peer reports) supply benchmarks, emission factors and risk exposure; internal records supply the Organization’s own figures.</w:t>
      </w:r>
    </w:p>
    <w:p>
      <w:pPr>
        <w:pStyle w:val="ListParagraph"/>
        <w:numPr>
          <w:ilvl w:val="0"/>
          <w:numId w:val="2"/>
        </w:numPr>
        <w:spacing w:after="70" w:line="270"/>
      </w:pPr>
      <w:r>
        <w:t xml:space="preserve"/>
      </w:r>
      <w:r>
        <w:rPr>
          <w:b/>
          <w:bCs/>
        </w:rPr>
        <w:t xml:space="preserve">Start with 30 metrics and 14 KPIs.</w:t>
      </w:r>
      <w:r>
        <w:t xml:space="preserve"> The long list covers 10 environmental, 10 social and 10 governance metrics; 14 KPIs are prioritised for the first reporting cycle. Targets are set only after a validated baseline exists.</w:t>
      </w:r>
    </w:p>
    <w:p>
      <w:pPr>
        <w:pStyle w:val="ListParagraph"/>
        <w:numPr>
          <w:ilvl w:val="0"/>
          <w:numId w:val="2"/>
        </w:numPr>
        <w:spacing w:after="70" w:line="270"/>
      </w:pPr>
      <w:r>
        <w:t xml:space="preserve"/>
      </w:r>
      <w:r>
        <w:rPr>
          <w:b/>
          <w:bCs/>
        </w:rPr>
        <w:t xml:space="preserve">Build quality in from day one.</w:t>
      </w:r>
      <w:r>
        <w:t xml:space="preserve"> A data dictionary, source register, automated validation rules, a four-eyes review and an audit trail make the data assurance-ready.</w:t>
      </w:r>
    </w:p>
    <w:p>
      <w:pPr>
        <w:pStyle w:val="ListParagraph"/>
        <w:numPr>
          <w:ilvl w:val="0"/>
          <w:numId w:val="2"/>
        </w:numPr>
        <w:spacing w:after="70" w:line="270"/>
      </w:pPr>
      <w:r>
        <w:t xml:space="preserve"/>
      </w:r>
      <w:r>
        <w:rPr>
          <w:b/>
          <w:bCs/>
        </w:rPr>
        <w:t xml:space="preserve">Deliver in 16 weeks.</w:t>
      </w:r>
      <w:r>
        <w:t xml:space="preserve"> Eight phases take the work from mobilisation (week of 12 October 2026) to a first KPI dashboard and baseline report (late January 2027).</w:t>
      </w:r>
    </w:p>
    <w:p>
      <w:pPr>
        <w:pStyle w:val="Heading3"/>
      </w:pPr>
      <w:r>
        <w:t xml:space="preserve">Headline KPIs for the first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8"/>
                <w:szCs w:val="18"/>
              </w:rPr>
              <w:t xml:space="preserve">Pillar</w:t>
            </w:r>
          </w:p>
        </w:tc>
        <w:tc>
          <w:tcPr>
            <w:tcW w:type="dxa" w:w="78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8"/>
                <w:szCs w:val="18"/>
              </w:rPr>
              <w:t xml:space="preserve">Priority KPIs</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8"/>
                <w:szCs w:val="18"/>
              </w:rPr>
              <w:t xml:space="preserve">Environmental</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8"/>
                <w:szCs w:val="18"/>
              </w:rPr>
              <w:t xml:space="preserve">Scope 1+2 GHG emissions and intensity; renewable share of electricity; energy intensity; water consumption intensity; waste diverted from landfill (%)</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8"/>
                <w:szCs w:val="18"/>
              </w:rPr>
              <w:t xml:space="preserve">Social</w:t>
            </w:r>
          </w:p>
        </w:tc>
        <w:tc>
          <w:tcPr>
            <w:tcW w:type="dxa" w:w="7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8"/>
                <w:szCs w:val="18"/>
              </w:rPr>
              <w:t xml:space="preserve">Total recordable injury rate; women in workforce and in management (%); employee turnover; training hours per employee; supplier social-audit coverage (%)</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8"/>
                <w:szCs w:val="18"/>
              </w:rPr>
              <w:t xml:space="preserve">Governance</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8"/>
                <w:szCs w:val="18"/>
              </w:rPr>
              <w:t xml:space="preserve">Independent board members (%); ethics and anti-corruption training coverage (%); data-quality score of the ESG dataset (internal control KPI)</w:t>
            </w:r>
          </w:p>
        </w:tc>
      </w:tr>
    </w:tbl>
    <w:p>
      <w:pPr>
        <w:spacing w:after="160"/>
      </w:pPr>
    </w:p>
    <w:p>
      <w:pPr>
        <w:pStyle w:val="Heading3"/>
      </w:pPr>
      <w:r>
        <w:t xml:space="preserve">Decisions requested from leadership</w:t>
      </w:r>
    </w:p>
    <w:p>
      <w:pPr>
        <w:pStyle w:val="ListParagraph"/>
        <w:numPr>
          <w:ilvl w:val="0"/>
          <w:numId w:val="3"/>
        </w:numPr>
        <w:spacing w:after="70" w:line="270"/>
      </w:pPr>
      <w:r>
        <w:t xml:space="preserve">Confirm the reporting boundary (operational control, all sites) and baseline year (FY 2025-26).</w:t>
      </w:r>
    </w:p>
    <w:p>
      <w:pPr>
        <w:pStyle w:val="ListParagraph"/>
        <w:numPr>
          <w:ilvl w:val="0"/>
          <w:numId w:val="3"/>
        </w:numPr>
        <w:spacing w:after="70" w:line="270"/>
      </w:pPr>
      <w:r>
        <w:t xml:space="preserve">Nominate a data owner for each KPI and an executive sponsor for ESG data.</w:t>
      </w:r>
    </w:p>
    <w:p>
      <w:pPr>
        <w:pStyle w:val="ListParagraph"/>
        <w:numPr>
          <w:ilvl w:val="0"/>
          <w:numId w:val="3"/>
        </w:numPr>
        <w:spacing w:after="70" w:line="270"/>
      </w:pPr>
      <w:r>
        <w:t xml:space="preserve">Approve the 16-week plan and the 30-metric long list as the starting scope.</w:t>
      </w:r>
    </w:p>
    <w:p>
      <w:pPr>
        <w:pStyle w:val="ListParagraph"/>
        <w:numPr>
          <w:ilvl w:val="0"/>
          <w:numId w:val="3"/>
        </w:numPr>
        <w:spacing w:after="70" w:line="270"/>
      </w:pPr>
      <w:r>
        <w:t xml:space="preserve">Agree the target-setting principle: targets follow a validated baseline and, for climate, a science-based pathway.</w:t>
      </w:r>
    </w:p>
    <w:p>
      <w:pPr>
        <w:pStyle w:val="Heading1"/>
        <w:pageBreakBefore/>
      </w:pPr>
      <w:r>
        <w:t xml:space="preserve">1. Introduction and Background</w:t>
      </w:r>
    </w:p>
    <w:p>
      <w:pPr>
        <w:pStyle w:val="Heading2"/>
      </w:pPr>
      <w:r>
        <w:t xml:space="preserve">1.1 The sustainability challenge</w:t>
      </w:r>
    </w:p>
    <w:p>
      <w:pPr>
        <w:spacing w:after="120" w:before="0" w:line="276"/>
      </w:pPr>
      <w:r>
        <w:t xml:space="preserve">Organizations now operate under simultaneous pressure from climate change, resource scarcity, workforce expectations and tighter governance scrutiny. Each of these shows up as a financial or operational risk: carbon pricing and energy costs, water stress at production sites, supply-chain disruption, safety incidents, talent attrition, and reputational or legal exposure from weak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cantSplit/>
          <w:tblHeader/>
        </w:trPr>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Pillar</w:t>
            </w:r>
          </w:p>
        </w:tc>
        <w:tc>
          <w:tcPr>
            <w:tcW w:type="dxa" w:w="4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Typical challenges</w:t>
            </w:r>
          </w:p>
        </w:tc>
        <w:tc>
          <w:tcPr>
            <w:tcW w:type="dxa" w:w="41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Why data matters</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Environmental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Greenhouse gas emissions (Scopes 1, 2, 3); energy mix; water stress; waste and circularity; biodiversity; physical climate risk</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Emissions and resource use must be measured to be reduced. Without a baseline, targets cannot be credible and progress cannot be proven.</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Social</w:t>
            </w:r>
          </w:p>
        </w:tc>
        <w:tc>
          <w:tcPr>
            <w:tcW w:type="dxa" w:w="4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Workplace health and safety; diversity and inclusion; fair pay; supply-chain labour standards; community impact</w:t>
            </w:r>
          </w:p>
        </w:tc>
        <w:tc>
          <w:tcPr>
            <w:tcW w:type="dxa" w:w="4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Social outcomes are often reported as anecdotes. Quantified, comparable indicators reveal where risk and inequity actually sit.</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Governance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Board independence and oversight; ethics and anti-corruption; data security; transparency</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Investors, lenders and regulators increasingly treat governance metrics as leading indicators of resilience.</w:t>
            </w:r>
          </w:p>
        </w:tc>
      </w:tr>
    </w:tbl>
    <w:p>
      <w:pPr>
        <w:spacing w:after="160" w:before="60"/>
      </w:pPr>
      <w:r>
        <w:rPr>
          <w:i/>
          <w:iCs/>
          <w:color w:val="595959"/>
          <w:sz w:val="17"/>
          <w:szCs w:val="17"/>
        </w:rPr>
        <w:t xml:space="preserve">Table 1: Sustainability challenges and the role of data</w:t>
      </w:r>
    </w:p>
    <w:p>
      <w:pPr>
        <w:pStyle w:val="Heading2"/>
      </w:pPr>
      <w:r>
        <w:t xml:space="preserve">1.2 Why a data-driven approach</w:t>
      </w:r>
    </w:p>
    <w:p>
      <w:pPr>
        <w:spacing w:after="120" w:before="0" w:line="276"/>
      </w:pPr>
      <w:r>
        <w:t xml:space="preserve">A data-driven ESG programme replaces opinion with evidence. It lets management compare sites, track progress against targets, spot problems early, and answer investor, regulator and customer questions consistently. It also reduces the risk of “greenwashing”: claims that cannot be traced to data are the ones most likely to be challenged.</w:t>
      </w:r>
    </w:p>
    <w:p>
      <w:pPr>
        <w:pStyle w:val="ListParagraph"/>
        <w:numPr>
          <w:ilvl w:val="0"/>
          <w:numId w:val="2"/>
        </w:numPr>
        <w:spacing w:after="70" w:line="270"/>
      </w:pPr>
      <w:r>
        <w:t xml:space="preserve"/>
      </w:r>
      <w:r>
        <w:rPr>
          <w:b/>
          <w:bCs/>
        </w:rPr>
        <w:t xml:space="preserve">Prioritisation:</w:t>
      </w:r>
      <w:r>
        <w:t xml:space="preserve"> quantify which issues carry the most financial and impact weight so effort is not spread thin.</w:t>
      </w:r>
    </w:p>
    <w:p>
      <w:pPr>
        <w:pStyle w:val="ListParagraph"/>
        <w:numPr>
          <w:ilvl w:val="0"/>
          <w:numId w:val="2"/>
        </w:numPr>
        <w:spacing w:after="70" w:line="270"/>
      </w:pPr>
      <w:r>
        <w:t xml:space="preserve"/>
      </w:r>
      <w:r>
        <w:rPr>
          <w:b/>
          <w:bCs/>
        </w:rPr>
        <w:t xml:space="preserve">Performance management:</w:t>
      </w:r>
      <w:r>
        <w:t xml:space="preserve"> KPIs with owners, baselines and review cycles turn goals into accountable work.</w:t>
      </w:r>
    </w:p>
    <w:p>
      <w:pPr>
        <w:pStyle w:val="ListParagraph"/>
        <w:numPr>
          <w:ilvl w:val="0"/>
          <w:numId w:val="2"/>
        </w:numPr>
        <w:spacing w:after="70" w:line="270"/>
      </w:pPr>
      <w:r>
        <w:t xml:space="preserve"/>
      </w:r>
      <w:r>
        <w:rPr>
          <w:b/>
          <w:bCs/>
        </w:rPr>
        <w:t xml:space="preserve">Comparability:</w:t>
      </w:r>
      <w:r>
        <w:t xml:space="preserve"> public benchmarks show whether performance is strong or weak relative to peers and national or sector averages.</w:t>
      </w:r>
    </w:p>
    <w:p>
      <w:pPr>
        <w:pStyle w:val="ListParagraph"/>
        <w:numPr>
          <w:ilvl w:val="0"/>
          <w:numId w:val="2"/>
        </w:numPr>
        <w:spacing w:after="70" w:line="270"/>
      </w:pPr>
      <w:r>
        <w:t xml:space="preserve"/>
      </w:r>
      <w:r>
        <w:rPr>
          <w:b/>
          <w:bCs/>
        </w:rPr>
        <w:t xml:space="preserve">Assurance readiness:</w:t>
      </w:r>
      <w:r>
        <w:t xml:space="preserve"> regulators are moving toward independent verification of sustainability data, so controls must exist before the audit does.</w:t>
      </w:r>
    </w:p>
    <w:p>
      <w:pPr>
        <w:pStyle w:val="Heading2"/>
      </w:pPr>
      <w:r>
        <w:t xml:space="preserve">1.3 Regulatory and market context (as of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Development</w:t>
            </w:r>
          </w:p>
        </w:tc>
        <w:tc>
          <w:tcPr>
            <w:tcW w:type="dxa" w:w="4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Status reported in sources</w:t>
            </w:r>
          </w:p>
        </w:tc>
        <w:tc>
          <w:tcPr>
            <w:tcW w:type="dxa" w:w="33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Implication for this strategy</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ISSB (IFRS S1 and S2)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35 jurisdictions had adopted the standards on a voluntary or mandatory basis as of 22 July 2026 (S&amp;P Global Sustainable1). The UK issued UK SRS S1 and S2 in February 2026, and IFRS S2 was amended in December 2025.</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Use IFRS S2 climate concepts (governance, strategy, risk management, metrics) and SASB industry metrics as the investor-facing layer.</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India – SEBI BRSR / BRSR Core</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BRSR Core assessment or assurance extends to the top 1,000 listed companies in FY 2026-27. Summaries report that SEBI has eased value-chain requirements, making value-chain disclosure and its assessment voluntary. Verify against the latest SEBI circular.</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Adopt the nine BRSR Core attributes as the minimum dataset; build value-chain mapping early as a head start.</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EU – CSRD / ESRS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Omnibus I (Directive (EU) 2026/470) was reported as in force from 18 March 2026, narrowing CSRD scope to the largest companies. Simplified ESRS cut mandatory datapoints sharply; a Commission adoption deadline of 18 September 2026 was cited by one law-firm summary. Verify current status.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Keep double-materiality logic and ESRS E1 climate datapoints as a design reference; monitor the final simplified ESRS.</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GRI, GHG Protocol, TCFD legacy</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Long-standing, widely used. The ISSB took over monitoring of climate disclosures from the TCFD.</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GRI for impact reporting; GHG Protocol for all emissions accounting.</w:t>
            </w:r>
          </w:p>
        </w:tc>
      </w:tr>
    </w:tbl>
    <w:p>
      <w:pPr>
        <w:spacing w:after="160" w:before="60"/>
      </w:pPr>
      <w:r>
        <w:rPr>
          <w:i/>
          <w:iCs/>
          <w:color w:val="595959"/>
          <w:sz w:val="17"/>
          <w:szCs w:val="17"/>
        </w:rPr>
        <w:t xml:space="preserve">Table 2: Regulatory snapshot. Items marked “verify” should be confirmed against primary legal texts.</w:t>
      </w:r>
    </w:p>
    <w:p>
      <w:pPr>
        <w:pStyle w:val="Heading2"/>
      </w:pPr>
      <w:r>
        <w:t xml:space="preserve">1.4 Assumptions</w:t>
      </w:r>
    </w:p>
    <w:p>
      <w:pPr>
        <w:pStyle w:val="ListParagraph"/>
        <w:numPr>
          <w:ilvl w:val="0"/>
          <w:numId w:val="2"/>
        </w:numPr>
        <w:spacing w:after="70" w:line="270"/>
      </w:pPr>
      <w:r>
        <w:t xml:space="preserve">The Organization is a mid-to-large company with operations in India and possibly abroad, reporting on an April–March financial year.</w:t>
      </w:r>
    </w:p>
    <w:p>
      <w:pPr>
        <w:pStyle w:val="ListParagraph"/>
        <w:numPr>
          <w:ilvl w:val="0"/>
          <w:numId w:val="2"/>
        </w:numPr>
        <w:spacing w:after="70" w:line="270"/>
      </w:pPr>
      <w:r>
        <w:t xml:space="preserve">Reporting boundary follows the operational control approach of the GHG Protocol; this can be revisited after the first cycle.</w:t>
      </w:r>
    </w:p>
    <w:p>
      <w:pPr>
        <w:pStyle w:val="ListParagraph"/>
        <w:numPr>
          <w:ilvl w:val="0"/>
          <w:numId w:val="2"/>
        </w:numPr>
        <w:spacing w:after="70" w:line="270"/>
      </w:pPr>
      <w:r>
        <w:t xml:space="preserve">No proprietary ESG ratings data is assumed; the strategy relies on freely accessible sources and the Organization’s own records.</w:t>
      </w:r>
    </w:p>
    <w:p>
      <w:pPr>
        <w:pStyle w:val="ListParagraph"/>
        <w:numPr>
          <w:ilvl w:val="0"/>
          <w:numId w:val="2"/>
        </w:numPr>
        <w:spacing w:after="70" w:line="270"/>
      </w:pPr>
      <w:r>
        <w:t xml:space="preserve">Where the Organization’s own figures are not yet available, estimates are labelled as such and replaced as measured data arrives.</w:t>
      </w:r>
    </w:p>
    <w:p>
      <w:pPr>
        <w:pStyle w:val="Heading1"/>
        <w:pageBreakBefore/>
      </w:pPr>
      <w:r>
        <w:t xml:space="preserve">2. Research: Public Data Sources</w:t>
      </w:r>
    </w:p>
    <w:p>
      <w:pPr>
        <w:pStyle w:val="Heading2"/>
      </w:pPr>
      <w:r>
        <w:t xml:space="preserve">2.1 Selection criteria</w:t>
      </w:r>
    </w:p>
    <w:p>
      <w:pPr>
        <w:spacing w:after="120" w:before="0" w:line="276"/>
      </w:pPr>
      <w:r>
        <w:t xml:space="preserve">Each candidate source was scored against seven weighted criteria. A source needs a total of at least 65 out of 100 and no zero on credibility to enter the source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938"/>
      </w:tblGrid>
      <w:tr>
        <w:trPr>
          <w:cantSplit/>
          <w:tblHeader/>
        </w:trPr>
        <w:tc>
          <w:tcPr>
            <w:tcW w:type="dxa" w:w="2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Criterion</w:t>
            </w:r>
          </w:p>
        </w:tc>
        <w:tc>
          <w:tcPr>
            <w:tcW w:type="dxa" w:w="11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Weight</w:t>
            </w:r>
          </w:p>
        </w:tc>
        <w:tc>
          <w:tcPr>
            <w:tcW w:type="dxa" w:w="5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What is assessed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Relevance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25</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Does it supply a metric on the shortlist or a factor needed to calculate one?</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Credibility</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20</w:t>
            </w:r>
          </w:p>
        </w:tc>
        <w:tc>
          <w:tcPr>
            <w:tcW w:type="dxa" w:w="5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Publisher authority, documented methodology, peer review or regulatory status</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Coverage and granularity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15</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Geography, sector and level of detail (national, site, company)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Timeliness</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10</w:t>
            </w:r>
          </w:p>
        </w:tc>
        <w:tc>
          <w:tcPr>
            <w:tcW w:type="dxa" w:w="5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Update frequency and lag between period and publication</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Accessibility and licensing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10</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Free to use, clear terms of reuse, stable URLs</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Comparability</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10</w:t>
            </w:r>
          </w:p>
        </w:tc>
        <w:tc>
          <w:tcPr>
            <w:tcW w:type="dxa" w:w="5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Consistent definitions across years and entities</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Machine readability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10</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API, CSV or structured download rather than PDF only</w:t>
            </w:r>
          </w:p>
        </w:tc>
      </w:tr>
    </w:tbl>
    <w:p>
      <w:pPr>
        <w:spacing w:after="160" w:before="60"/>
      </w:pPr>
      <w:r>
        <w:rPr>
          <w:i/>
          <w:iCs/>
          <w:color w:val="595959"/>
          <w:sz w:val="17"/>
          <w:szCs w:val="17"/>
        </w:rPr>
        <w:t xml:space="preserve">Table 3: Data source selection scorecard</w:t>
      </w:r>
    </w:p>
    <w:p>
      <w:pPr>
        <w:pStyle w:val="Heading2"/>
      </w:pPr>
      <w:r>
        <w:t xml:space="preserve">2.2 Shortlisted data sources</w:t>
      </w:r>
    </w:p>
    <w:p>
      <w:pPr>
        <w:spacing w:after="120" w:before="0" w:line="276"/>
      </w:pPr>
      <w:r>
        <w:t xml:space="preserve">The sources below are grouped by role. “Context and benchmark” sources inform targets and risk; “Factor” sources supply emission or conversion factors; “Disclosure” sources show what peers report; “Framework” sources define the metrics.</w:t>
      </w:r>
    </w:p>
    <w:p>
      <w:pPr>
        <w:pStyle w:val="Heading3"/>
      </w:pPr>
      <w:r>
        <w:t xml:space="preserve">A. Frameworks and standards (define what to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900"/>
        <w:gridCol w:w="2138"/>
      </w:tblGrid>
      <w:tr>
        <w:trPr>
          <w:cantSplit/>
          <w:tblHeader/>
        </w:trPr>
        <w:tc>
          <w:tcPr>
            <w:tcW w:type="dxa" w:w="19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c>
          <w:tcPr>
            <w:tcW w:type="dxa" w:w="2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Metrics supplied</w:t>
            </w:r>
          </w:p>
        </w:tc>
        <w:tc>
          <w:tcPr>
            <w:tcW w:type="dxa" w:w="29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Why suitable</w:t>
            </w:r>
          </w:p>
        </w:tc>
        <w:tc>
          <w:tcPr>
            <w:tcW w:type="dxa" w:w="21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Watch-outs</w:t>
            </w:r>
          </w:p>
        </w:tc>
      </w:tr>
      <w:tr>
        <w:trPr>
          <w:cantSplit/>
        </w:trPr>
        <w:tc>
          <w:tcPr>
            <w:tcW w:type="dxa" w:w="19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GRI Standards (Global Reporting Initiative)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Topic standards across emissions, water, waste, labour, diversity, anti-corruption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Free, widely used, covers impact on society and environment; strong metric definitions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Impact-focused rather than investor-focused; check for revisions of individual topic standards</w:t>
            </w:r>
          </w:p>
        </w:tc>
      </w:tr>
      <w:tr>
        <w:trPr>
          <w:cantSplit/>
        </w:trPr>
        <w:tc>
          <w:tcPr>
            <w:tcW w:type="dxa" w:w="19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IFRS S1/S2 and SASB Standards (ISSB)</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Climate metrics (Scopes 1–3, transition and physical risk) and industry-specific metrics</w:t>
            </w:r>
          </w:p>
        </w:tc>
        <w:tc>
          <w:tcPr>
            <w:tcW w:type="dxa" w:w="2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Global investor baseline; adoption by many jurisdictions; SASB gives sector-relevant KPIs</w:t>
            </w:r>
          </w:p>
        </w:tc>
        <w:tc>
          <w:tcPr>
            <w:tcW w:type="dxa" w:w="2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Local adoption varies; check the version and jurisdictional modifications</w:t>
            </w:r>
          </w:p>
        </w:tc>
      </w:tr>
      <w:tr>
        <w:trPr>
          <w:cantSplit/>
        </w:trPr>
        <w:tc>
          <w:tcPr>
            <w:tcW w:type="dxa" w:w="19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SEBI BRSR and BRSR Core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Nine BRSR Core attributes: GHG, water, energy, waste/circularity, employee wellbeing and safety, gender diversity, inclusive development, fairness to customers and suppliers, openness of business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Mandatory for large Indian listed companies; defined units and assurance format</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Rules have been adjusted several times; confirm current glide path and value-chain provisions</w:t>
            </w:r>
          </w:p>
        </w:tc>
      </w:tr>
      <w:tr>
        <w:trPr>
          <w:cantSplit/>
        </w:trPr>
        <w:tc>
          <w:tcPr>
            <w:tcW w:type="dxa" w:w="19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GHG Protocol (Corporate and Scope 3 Standards)</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Method for Scope 1, 2 and 3 accounting</w:t>
            </w:r>
          </w:p>
        </w:tc>
        <w:tc>
          <w:tcPr>
            <w:tcW w:type="dxa" w:w="2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 facto global method; underpins ISSB, GRI and BRSR emissions metrics</w:t>
            </w:r>
          </w:p>
        </w:tc>
        <w:tc>
          <w:tcPr>
            <w:tcW w:type="dxa" w:w="2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Needs consistent boundary decisions and documented emission factors</w:t>
            </w:r>
          </w:p>
        </w:tc>
      </w:tr>
    </w:tbl>
    <w:p>
      <w:pPr>
        <w:spacing w:after="160"/>
      </w:pPr>
    </w:p>
    <w:p>
      <w:pPr>
        <w:pStyle w:val="Heading3"/>
      </w:pPr>
      <w:r>
        <w:t xml:space="preserve">B. Open datasets for context, benchmarks and emission factors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2238"/>
      </w:tblGrid>
      <w:tr>
        <w:trPr>
          <w:cantSplit/>
          <w:tblHeader/>
        </w:trPr>
        <w:tc>
          <w:tcPr>
            <w:tcW w:type="dxa" w:w="21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c>
          <w:tcPr>
            <w:tcW w:type="dxa" w:w="2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Metrics supplied</w:t>
            </w:r>
          </w:p>
        </w:tc>
        <w:tc>
          <w:tcPr>
            <w:tcW w:type="dxa" w:w="2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Why suitable</w:t>
            </w:r>
          </w:p>
        </w:tc>
        <w:tc>
          <w:tcPr>
            <w:tcW w:type="dxa" w:w="22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Watch-outs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World Bank – World Development Indicators and Worldwide Governance Indicators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Country-level energy, emissions, water, labour, gender and governance indicators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Long time series, free API, standard definitions; good for country benchmarking</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National-level, annual, with reporting lag of 1–2 years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UN SDG Global Database</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Official SDG indicators by country (e.g. renewable share, safe water, gender parity)</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Links the Organization’s KPIs to the SDGs; officially compiled</w:t>
            </w:r>
          </w:p>
        </w:tc>
        <w:tc>
          <w:tcPr>
            <w:tcW w:type="dxa" w:w="2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Some indicators sparse or revised retrospectively</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Our World in Data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Curated energy, emissions, health and economic series with cited origins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Easy downloads (CSV), transparent sourcing, good for trend charts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Secondary aggregator; always cite the underlying source and check the date</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International Energy Agency (free data and statistics)</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Energy mix, electricity emission intensity, efficiency indicators</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Authoritative on energy; supports Scope 2 context</w:t>
            </w:r>
          </w:p>
        </w:tc>
        <w:tc>
          <w:tcPr>
            <w:tcW w:type="dxa" w:w="2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Parts of the data are behind a subscription; use only the free sets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Climate TRACE and EDGAR (EU JRC)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Facility- and sector-level emission estimates; country GHG inventories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Allows sector and peer emission benchmarking and sense-checks of internal estimates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Modelled estimates, not measured values; do not use as the Organization’s own figures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India: CEA CO2 Baseline Database; BEE; CPCB/SPCB; MoEFCC</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Grid emission factors, energy efficiency (PAT scheme) data, air/water/waste compliance data</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Official Indian factors and compliance context; needed for Scope 2 and BRSR</w:t>
            </w:r>
          </w:p>
        </w:tc>
        <w:tc>
          <w:tcPr>
            <w:tcW w:type="dxa" w:w="2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Formats vary; check publication year before using a factor</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UK DEFRA/DESNZ conversion factors; US EPA emission factors hub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Emission factors for fuels, transport, materials, waste, travel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Free, annually updated, documented; widely accepted for Scope 1 and 3 calculation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Geography-specific; document why a foreign factor is used if no local one exists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WRI Aqueduct; Global Forest Watch; Protected Planet (WDPA)</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Water-stress exposure, deforestation, protected-area proximity</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Site-level risk screening using coordinates</w:t>
            </w:r>
          </w:p>
        </w:tc>
        <w:tc>
          <w:tcPr>
            <w:tcW w:type="dxa" w:w="2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Modelled and updated periodically; use for screening, not compliance proof</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ILOSTAT (ILO) and WHO data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Wages, working hours, occupational injury and gender statistics by country and sector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Benchmarks for safety and workforce KPIs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Definitions of injury and employment vary between countries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Transparency International – Corruption Perceptions Index</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Country corruption-risk score</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Supports governance risk screening for operations and suppliers</w:t>
            </w:r>
          </w:p>
        </w:tc>
        <w:tc>
          <w:tcPr>
            <w:tcW w:type="dxa" w:w="2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Perception-based; use as a context signal only</w:t>
            </w:r>
          </w:p>
        </w:tc>
      </w:tr>
    </w:tbl>
    <w:p>
      <w:pPr>
        <w:spacing w:after="160"/>
      </w:pPr>
    </w:p>
    <w:p>
      <w:pPr>
        <w:pStyle w:val="Heading3"/>
      </w:pPr>
      <w:r>
        <w:t xml:space="preserve">C. Corporate and peer disclosures (what comparable organizations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700"/>
        <w:gridCol w:w="2038"/>
      </w:tblGrid>
      <w:tr>
        <w:trPr>
          <w:cantSplit/>
          <w:tblHeader/>
        </w:trPr>
        <w:tc>
          <w:tcPr>
            <w:tcW w:type="dxa" w:w="2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c>
          <w:tcPr>
            <w:tcW w:type="dxa" w:w="2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Metrics supplied</w:t>
            </w:r>
          </w:p>
        </w:tc>
        <w:tc>
          <w:tcPr>
            <w:tcW w:type="dxa" w:w="2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Why suitable</w:t>
            </w:r>
          </w:p>
        </w:tc>
        <w:tc>
          <w:tcPr>
            <w:tcW w:type="dxa" w:w="20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Watch-outs</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BRSR filings and annual reports (NSE/BSE portals; company websites)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Peer values for BRSR Core KPIs: emissions, energy, water, waste, injury rates, gender mix</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Standardised template makes peer comparison practical for Indian listed companies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Self-reported; check whether the data is assured; boundaries differ</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CDP public responses; SBTi target dashboard</w:t>
            </w:r>
          </w:p>
        </w:tc>
        <w:tc>
          <w:tcPr>
            <w:tcW w:type="dxa" w:w="2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Climate, water and forests disclosures; validated science-based targets</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Shows the sector’s climate ambition and disclosure quality</w:t>
            </w:r>
          </w:p>
        </w:tc>
        <w:tc>
          <w:tcPr>
            <w:tcW w:type="dxa" w:w="20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Full CDP scoring data may be restricted; public responses vary in completeness</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Sustainability reports of peers and key suppliers (GRI index)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Sector KPIs, targets, methodology notes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Reveals realistic target levels and metric definitions used in the sector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Voluntary and uneven quality; look for assurance statements</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US SEC filings (10-K, climate disclosures) and EU registers where relevant</w:t>
            </w:r>
          </w:p>
        </w:tc>
        <w:tc>
          <w:tcPr>
            <w:tcW w:type="dxa" w:w="2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Human capital, risk and governance data for listed peers</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Structured, legally filed documents</w:t>
            </w:r>
          </w:p>
        </w:tc>
        <w:tc>
          <w:tcPr>
            <w:tcW w:type="dxa" w:w="20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Only relevant for peers with US or EU listings</w:t>
            </w:r>
          </w:p>
        </w:tc>
      </w:tr>
    </w:tbl>
    <w:p>
      <w:pPr>
        <w:spacing w:after="160"/>
      </w:pPr>
    </w:p>
    <w:p>
      <w:pPr>
        <w:pStyle w:val="Heading2"/>
      </w:pPr>
      <w:r>
        <w:t xml:space="preserve">2.3 Why these sources are suitable</w:t>
      </w:r>
    </w:p>
    <w:p>
      <w:pPr>
        <w:pStyle w:val="ListParagraph"/>
        <w:numPr>
          <w:ilvl w:val="0"/>
          <w:numId w:val="2"/>
        </w:numPr>
        <w:spacing w:after="70" w:line="270"/>
      </w:pPr>
      <w:r>
        <w:t xml:space="preserve"/>
      </w:r>
      <w:r>
        <w:rPr>
          <w:b/>
          <w:bCs/>
        </w:rPr>
        <w:t xml:space="preserve">Authority and traceability:</w:t>
      </w:r>
      <w:r>
        <w:t xml:space="preserve"> intergovernmental, regulatory and standard-setting bodies publish documented methods, which supports audit trails and assurance.</w:t>
      </w:r>
    </w:p>
    <w:p>
      <w:pPr>
        <w:pStyle w:val="ListParagraph"/>
        <w:numPr>
          <w:ilvl w:val="0"/>
          <w:numId w:val="2"/>
        </w:numPr>
        <w:spacing w:after="70" w:line="270"/>
      </w:pPr>
      <w:r>
        <w:t xml:space="preserve"/>
      </w:r>
      <w:r>
        <w:rPr>
          <w:b/>
          <w:bCs/>
        </w:rPr>
        <w:t xml:space="preserve">Free and reusable:</w:t>
      </w:r>
      <w:r>
        <w:t xml:space="preserve"> the plan avoids paid ratings so that it can be implemented without procurement delay; paid sources can be added later.</w:t>
      </w:r>
    </w:p>
    <w:p>
      <w:pPr>
        <w:pStyle w:val="ListParagraph"/>
        <w:numPr>
          <w:ilvl w:val="0"/>
          <w:numId w:val="2"/>
        </w:numPr>
        <w:spacing w:after="70" w:line="270"/>
      </w:pPr>
      <w:r>
        <w:t xml:space="preserve"/>
      </w:r>
      <w:r>
        <w:rPr>
          <w:b/>
          <w:bCs/>
        </w:rPr>
        <w:t xml:space="preserve">Complementary roles:</w:t>
      </w:r>
      <w:r>
        <w:t xml:space="preserve"> frameworks define metrics, factor sources convert activity data to emissions, open datasets give benchmarks, and peer disclosures give a realistic comparison group.</w:t>
      </w:r>
    </w:p>
    <w:p>
      <w:pPr>
        <w:pStyle w:val="ListParagraph"/>
        <w:numPr>
          <w:ilvl w:val="0"/>
          <w:numId w:val="2"/>
        </w:numPr>
        <w:spacing w:after="70" w:line="270"/>
      </w:pPr>
      <w:r>
        <w:t xml:space="preserve"/>
      </w:r>
      <w:r>
        <w:rPr>
          <w:b/>
          <w:bCs/>
        </w:rPr>
        <w:t xml:space="preserve">Alignment with regulation:</w:t>
      </w:r>
      <w:r>
        <w:t xml:space="preserve"> every priority regulatory regime (ISSB, BRSR, ESRS) accepts or expects GHG Protocol methods and recognised emission factors.</w:t>
      </w:r>
    </w:p>
    <w:p>
      <w:pPr>
        <w:pStyle w:val="Heading2"/>
      </w:pPr>
      <w:r>
        <w:t xml:space="preserve">2.4 What public data cannot do</w:t>
      </w:r>
    </w:p>
    <w:p>
      <w:pPr>
        <w:spacing w:after="120" w:before="0" w:line="276"/>
      </w:pPr>
      <w:r>
        <w:t xml:space="preserve">Public data cannot tell the Organization its own emissions, injury rate or board composition. Those come from internal records: utility bills, fuel invoices, HR systems, safety logs, procurement data and board minutes. Public sources are used to (a) calculate, (b) benchmark, (c) screen risk and (d) sense-check internal numbers. This distinction is built into the data model in Section 5.</w:t>
      </w:r>
    </w:p>
    <w:p>
      <w:pPr>
        <w:pStyle w:val="Heading1"/>
        <w:pageBreakBefore/>
      </w:pPr>
      <w:r>
        <w:t xml:space="preserve">3. Strategy Development: Scope, Metrics and KPIs</w:t>
      </w:r>
    </w:p>
    <w:p>
      <w:pPr>
        <w:pStyle w:val="Heading2"/>
      </w:pPr>
      <w:r>
        <w:t xml:space="preserve">3.1 Project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38"/>
      </w:tblGrid>
      <w:tr>
        <w:trPr>
          <w:cantSplit/>
          <w:tblHeader/>
        </w:trPr>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Element</w:t>
            </w:r>
          </w:p>
        </w:tc>
        <w:tc>
          <w:tcPr>
            <w:tcW w:type="dxa" w:w="4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In scope</w:t>
            </w:r>
          </w:p>
        </w:tc>
        <w:tc>
          <w:tcPr>
            <w:tcW w:type="dxa" w:w="35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Out of scope (for cycle 1)</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Entities and sites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All wholly owned operations and those under operational control</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Minority-held joint ventures (reviewed in cycle 2)</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Topics</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Climate and energy, water, waste, workforce, health and safety, diversity, ethics, board governance</w:t>
            </w:r>
          </w:p>
        </w:tc>
        <w:tc>
          <w:tcPr>
            <w:tcW w:type="dxa" w:w="35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Detailed biodiversity assessments and human-rights due diligence beyond screening</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Emissions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Scope 1, Scope 2 (location- and market-based), screened Scope 3 (top categories by estimate)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Full Scope 3 across all 15 categories with supplier-specific data</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Period</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Baseline FY 2025-26; year-to-date FY 2026-27 collected in parallel</w:t>
            </w:r>
          </w:p>
        </w:tc>
        <w:tc>
          <w:tcPr>
            <w:tcW w:type="dxa" w:w="35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Back-casting before FY 2025-26</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Outputs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Source register, data dictionary, validated baseline, KPI dashboard, baseline report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External assurance engagement and public disclosure (prepared for, not executed)</w:t>
            </w:r>
          </w:p>
        </w:tc>
      </w:tr>
    </w:tbl>
    <w:p>
      <w:pPr>
        <w:spacing w:after="160" w:before="60"/>
      </w:pPr>
      <w:r>
        <w:rPr>
          <w:i/>
          <w:iCs/>
          <w:color w:val="595959"/>
          <w:sz w:val="17"/>
          <w:szCs w:val="17"/>
        </w:rPr>
        <w:t xml:space="preserve">Table 4: Project scope</w:t>
      </w:r>
    </w:p>
    <w:p>
      <w:pPr>
        <w:pStyle w:val="Heading2"/>
      </w:pPr>
      <w:r>
        <w:t xml:space="preserve">3.2 Materiality approach</w:t>
      </w:r>
    </w:p>
    <w:p>
      <w:pPr>
        <w:spacing w:after="120" w:before="0" w:line="276"/>
      </w:pPr>
      <w:r>
        <w:t xml:space="preserve">To keep the metric set proportionate, a simple two-lens screen is applied to the long list: </w:t>
      </w:r>
      <w:r>
        <w:rPr>
          <w:b/>
          <w:bCs/>
        </w:rPr>
        <w:t xml:space="preserve">financial relevance</w:t>
      </w:r>
      <w:r>
        <w:t xml:space="preserve"> (could it affect cost, revenue, access to capital or licence to operate?) and </w:t>
      </w:r>
      <w:r>
        <w:rPr>
          <w:b/>
          <w:bCs/>
        </w:rPr>
        <w:t xml:space="preserve">impact relevance</w:t>
      </w:r>
      <w:r>
        <w:t xml:space="preserve"> (does the Organization materially affect people or the environment on this topic?). Topics high on either lens stay on the list; topics low on both are deferred. Sector-specific SASB topics and BRSR Core attributes act as a floor, so no mandatory item is dropped. Stakeholder input (management, employees, investors, key customers) will be collected through a short ranking survey in Phase 1.</w:t>
      </w:r>
    </w:p>
    <w:p>
      <w:pPr>
        <w:pStyle w:val="Heading2"/>
      </w:pPr>
      <w:r>
        <w:t xml:space="preserve">3.3 ESG metric long list</w:t>
      </w:r>
    </w:p>
    <w:p>
      <w:pPr>
        <w:spacing w:after="120" w:before="0" w:line="276"/>
      </w:pPr>
      <w:r>
        <w:t xml:space="preserve">The long list below contains 30 candidate metrics, each tagged with its main framework reference, primary internal source and the public source used for calculation or benchmarking. “BC” marks a BRSR Core attribute.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500"/>
        <w:gridCol w:w="2300"/>
        <w:gridCol w:w="2438"/>
      </w:tblGrid>
      <w:tr>
        <w:trPr>
          <w:cantSplit/>
          <w:tblHeader/>
        </w:trPr>
        <w:tc>
          <w:tcPr>
            <w:tcW w:type="dxa" w:w="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ID</w:t>
            </w:r>
          </w:p>
        </w:tc>
        <w:tc>
          <w:tcPr>
            <w:tcW w:type="dxa" w:w="2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Metric (unit)</w:t>
            </w:r>
          </w:p>
        </w:tc>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Framework</w:t>
            </w:r>
          </w:p>
        </w:tc>
        <w:tc>
          <w:tcPr>
            <w:tcW w:type="dxa" w:w="2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Primary data source</w:t>
            </w:r>
          </w:p>
        </w:tc>
        <w:tc>
          <w:tcPr>
            <w:tcW w:type="dxa" w:w="24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Public source for factors / benchmark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Scope 1 GHG emissions (tCO2e)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GHG Protocol; IFRS S2;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Fuel invoices, meters, refrigerant logs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DEFRA/DESNZ, EPA, IPCC factors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E2</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Scope 2 GHG emissions, location- and market-based (tCO2e)</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GHG Protocol; IFRS S2;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Electricity bills, renewable certificates</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CEA CO2 Baseline Database; IEA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Scope 3 GHG emissions by category (tCO2e)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GHG Protocol; IFRS S2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Procurement spend, travel, logistics data</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DEFRA/EPA factors; spend-based factor sets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E4</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GHG emissions intensity (tCO2e per ₹ crore revenue)</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BC; IFRS S2</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Calculated</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Sector peers (BRSR filings)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Total energy consumption and renewable share (GJ;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302;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Meters, bills, supplier certificates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BEE; IEA; Our World in Data</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E6</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Energy intensity (GJ per ₹ crore revenue or per unit output)</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302;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Calculated</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PAT scheme and peer data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Water withdrawal, consumption, discharge and intensity (kL)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303;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Meters, site logs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WRI Aqueduct (stress screening); CPCB</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E8</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Waste generated by type; share diverted or recycled (t;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306;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Waste manifests, vendor reports</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CPCB/SPCB rules; peer disclosures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Air emissions: NOx, SOx, particulate matter (t)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BRSR; GRI 305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Stack monitoring reports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CPCB limits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E10</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Sites near protected areas or high-water-stress zones (count;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304; ESRS E4</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Site coordinates register</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Protected Planet; Global Forest Watch; Aqueduct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Employees and workers by gender and contract type (headcount)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2, 405;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HR information system</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ILOSTAT</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S2</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Women in workforce and in management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405;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HR information system</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World Bank; peer BRSR filings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Employee turnover rate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401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HR information system</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Sector peers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S4</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Total recordable injury rate and fatalities (per million hours)</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403;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Safety incident register, hours worked</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ILOSTAT; sector peers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Training hours per employee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404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Learning management system</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Peer disclosures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S6</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Wages and benefits: minimum-wage compliance, pay ratio, wellbeing spend</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405;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Payroll</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ILOSTAT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Human-rights and workplace grievances received and resolved (count;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406; BRSR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Grievance system</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Peer disclosures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S8</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Suppliers assessed on social and environmental criteria (% of spend)</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308/414;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Procurement and audit records</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CPI and country-risk context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CSR/community investment and beneficiaries (₹; count)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BC; Companies Act reporting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Finance, CSR team</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Peer CSR reports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S10</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Customer privacy complaints and consumer grievances (count)</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418;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Legal and customer service logs</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Regulator notices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Independent directors (% of board)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2; SEBI LODR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Board register</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World Bank governance indicators (context)</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G2</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Women on the board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405; SEBI LODR</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Board register</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Peer filings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Board-level ESG oversight and ESG-linked executive pay (yes/no; % of variable pay)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IFRS S1/S2 governance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Board charters, remuneration policy</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Peer reports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G4</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Ethics and anti-corruption training coverage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205;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Learning management system</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Peer disclosures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Confirmed corruption or ethics incidents and actions taken (count)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205;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Compliance register</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Transparency International (context)</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G6</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Whistleblower reports received and closed (count; %)</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2; BRSR</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Whistleblower system</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Peer disclosures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Information-security incidents and data breaches (count)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GRI 418; BC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IT security log</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Regulator notices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G8</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Suppliers covered by a code of conduct (% of spend)</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2; BC</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Procurement system</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Peer disclosures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Related-party transactions and disclosures (₹; count)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BC (openness of business)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Finance, company secretary</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Stock-exchange filings</w:t>
            </w:r>
          </w:p>
        </w:tc>
      </w:tr>
      <w:tr>
        <w:trPr>
          <w:cantSplit/>
        </w:trPr>
        <w:tc>
          <w:tcPr>
            <w:tcW w:type="dxa" w:w="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G10</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Tax paid and tax strategy disclosure (₹; yes/no)</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GRI 207</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Finance</w:t>
            </w:r>
          </w:p>
        </w:tc>
        <w:tc>
          <w:tcPr>
            <w:tcW w:type="dxa" w:w="24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Peer filings</w:t>
            </w:r>
          </w:p>
        </w:tc>
      </w:tr>
    </w:tbl>
    <w:p>
      <w:pPr>
        <w:spacing w:after="160" w:before="60"/>
      </w:pPr>
      <w:r>
        <w:rPr>
          <w:i/>
          <w:iCs/>
          <w:color w:val="595959"/>
          <w:sz w:val="17"/>
          <w:szCs w:val="17"/>
        </w:rPr>
        <w:t xml:space="preserve">Table 5: ESG metric long list (E = environmental, S = social, G = governance)</w:t>
      </w:r>
    </w:p>
    <w:p>
      <w:pPr>
        <w:pStyle w:val="Heading2"/>
      </w:pPr>
      <w:r>
        <w:t xml:space="preserve">3.4 Initial KPIs</w:t>
      </w:r>
    </w:p>
    <w:p>
      <w:pPr>
        <w:spacing w:after="120" w:before="0" w:line="276"/>
      </w:pPr>
      <w:r>
        <w:t xml:space="preserve">KPIs are the subset of metrics that will be managed against targets. Each has a formula, an owner, a review frequency and a target principle. Baselines are “to be established” because no validated figures exist yet; inventing numbers at this stage would undermine the purpose of the baseline exercise. KPI 14 (data quality) is included deliberately: it keeps attention on reliability, not just results, and warns management early if the dataset would not survive an assurance engagement.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500"/>
        <w:gridCol w:w="2938"/>
      </w:tblGrid>
      <w:tr>
        <w:trPr>
          <w:cantSplit/>
          <w:tblHeader/>
        </w:trPr>
        <w:tc>
          <w:tcPr>
            <w:tcW w:type="dxa" w:w="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w:t>
            </w:r>
          </w:p>
        </w:tc>
        <w:tc>
          <w:tcPr>
            <w:tcW w:type="dxa" w:w="3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KPI and formula</w:t>
            </w:r>
          </w:p>
        </w:tc>
        <w:tc>
          <w:tcPr>
            <w:tcW w:type="dxa" w:w="11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Frequency</w:t>
            </w:r>
          </w:p>
        </w:tc>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Owner</w:t>
            </w:r>
          </w:p>
        </w:tc>
        <w:tc>
          <w:tcPr>
            <w:tcW w:type="dxa" w:w="2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Target principle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Scope 1+2 emissions (tCO2e) = Σ activity data × emission factor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EHS / Energy lead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Absolute reduction on a science-based pathway (SBTi 1.5°C cross-sector guidance is about 4.2% a year; confirm current guidance)</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2</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GHG intensity = (Scope 1+2 tCO2e) ÷ revenue (₹ crore)</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Finance + EHS</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Year-on-year decline; compare with peer BRSR values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Renewable share of electricity (%) = renewable kWh ÷ total kWh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Energy lead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Rising share; set after procurement options are assessed</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4</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Energy intensity = total GJ ÷ output unit or revenue</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Plant managers</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Efficiency target per site, based on baseline variance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Water consumption intensity = kL ÷ output unit; share of water from stressed locations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EHS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Reduction at high-stress sites first</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6</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Waste diverted from landfill (%) = (recycled + reused + recovered) ÷ total waste</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EHS / Procurement</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Increase; hazardous waste handled by compliant vendors only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Total recordable injury rate = recordable injuries × 1,000,000 ÷ hours worked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Monthly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Safety head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Downward trend; zero-fatality ambition</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8</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Women in workforce and in management (%)</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Half-yearly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HR head</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Hiring and promotion pipeline targets set after gap analysis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Employee turnover (%) = leavers ÷ average headcount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Quarterly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HR head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Stay at or below peer median</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10</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Training hours per employee = total hours ÷ average headcount</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Half-yearly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HR / L&amp;D</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Minimum threshold set by role group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Suppliers assessed on ESG criteria (% of procurement spend)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Half-yearly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Head of Procurement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Cover top suppliers by spend first, then expand</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12</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Independent directors (%)</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Annually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Company Secretary</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Meet or exceed regulatory minimum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Ethics and anti-corruption training coverage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Annually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Compliance head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Close to 100% of relevant employees</w:t>
            </w:r>
          </w:p>
        </w:tc>
      </w:tr>
      <w:tr>
        <w:trPr>
          <w:cantSplit/>
        </w:trPr>
        <w:tc>
          <w:tcPr>
            <w:tcW w:type="dxa" w:w="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14</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ESG data-quality score = checks passed ÷ checks run, weighted by KPI criticality</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Monthly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ESG data lead</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Reach a high pass rate before first external assurance</w:t>
            </w:r>
          </w:p>
        </w:tc>
      </w:tr>
    </w:tbl>
    <w:p>
      <w:pPr>
        <w:spacing w:after="160" w:before="60"/>
      </w:pPr>
      <w:r>
        <w:rPr>
          <w:i/>
          <w:iCs/>
          <w:color w:val="595959"/>
          <w:sz w:val="17"/>
          <w:szCs w:val="17"/>
        </w:rPr>
        <w:t xml:space="preserve">Table 6: Initial KPIs for the first reporting cycle</w:t>
      </w:r>
    </w:p>
    <w:p>
      <w:pPr>
        <w:pStyle w:val="Heading1"/>
        <w:pageBreakBefore/>
      </w:pPr>
      <w:r>
        <w:t xml:space="preserve">4. Timeline and Action Plan</w:t>
      </w:r>
    </w:p>
    <w:p>
      <w:pPr>
        <w:pStyle w:val="Heading2"/>
      </w:pPr>
      <w:r>
        <w:t xml:space="preserve">4.1 Phased plan (16 weeks)</w:t>
      </w:r>
    </w:p>
    <w:p>
      <w:pPr>
        <w:spacing w:after="120" w:before="0" w:line="276"/>
      </w:pPr>
      <w:r>
        <w:t xml:space="preserve">Week 1 starts on 12 October 2026. Effort is indicative and covers the ESG data lead and analyst only; site and function owners contribute additional time during Phases 3 and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600"/>
        <w:gridCol w:w="1800"/>
        <w:gridCol w:w="1138"/>
      </w:tblGrid>
      <w:tr>
        <w:trPr>
          <w:cantSplit/>
          <w:tblHeader/>
        </w:trPr>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Phase</w:t>
            </w:r>
          </w:p>
        </w:tc>
        <w:tc>
          <w:tcPr>
            <w:tcW w:type="dxa" w:w="1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Weeks (dates)</w:t>
            </w:r>
          </w:p>
        </w:tc>
        <w:tc>
          <w:tcPr>
            <w:tcW w:type="dxa" w:w="3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Key activities</w:t>
            </w:r>
          </w:p>
        </w:tc>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Deliverable</w:t>
            </w:r>
          </w:p>
        </w:tc>
        <w:tc>
          <w:tcPr>
            <w:tcW w:type="dxa" w:w="11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Effort (hrs)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0. Mobilise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1–2</w:t>
            </w:r>
          </w:p>
          <w:p>
            <w:pPr>
              <w:spacing w:after="30" w:line="250"/>
            </w:pPr>
            <w:r>
              <w:rPr>
                <w:sz w:val="15"/>
                <w:szCs w:val="15"/>
              </w:rPr>
              <w:t xml:space="preserve">(12–23 Oct)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Confirm sponsor, scope, boundary and baseline year. Set up data repository and version control. Hold kick-off with data owners.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Project charter; RACI</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20</w:t>
            </w:r>
          </w:p>
        </w:tc>
      </w:tr>
      <w:tr>
        <w:trPr>
          <w:cantSplit/>
        </w:trPr>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 Materiality and metric selection</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2–4</w:t>
            </w:r>
          </w:p>
          <w:p>
            <w:pPr>
              <w:spacing w:after="30" w:line="250"/>
            </w:pPr>
            <w:r>
              <w:rPr>
                <w:sz w:val="15"/>
                <w:szCs w:val="15"/>
              </w:rPr>
              <w:t xml:space="preserve">(19 Oct–6 Nov)</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Run the two-lens materiality screen and stakeholder survey. Map metrics to GRI, ISSB/SASB and BRSR Core. Finalise the long list and KPI set.</w:t>
            </w:r>
          </w:p>
        </w:tc>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Approved metric list; KPI sheet</w:t>
            </w:r>
          </w:p>
        </w:tc>
        <w:tc>
          <w:tcPr>
            <w:tcW w:type="dxa" w:w="1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35</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2. Source mapping and data dictionary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4–6</w:t>
            </w:r>
          </w:p>
          <w:p>
            <w:pPr>
              <w:spacing w:after="30" w:line="250"/>
            </w:pPr>
            <w:r>
              <w:rPr>
                <w:sz w:val="15"/>
                <w:szCs w:val="15"/>
              </w:rPr>
              <w:t xml:space="preserve">(2–20 Nov)</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Build the source register using the scorecard. Document definitions, units, formulas, owners and frequency. Identify data gaps per site.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Source register; data dictionary; gap log</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40</w:t>
            </w:r>
          </w:p>
        </w:tc>
      </w:tr>
      <w:tr>
        <w:trPr>
          <w:cantSplit/>
        </w:trPr>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3. Baseline data collection</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6–10</w:t>
            </w:r>
          </w:p>
          <w:p>
            <w:pPr>
              <w:spacing w:after="30" w:line="250"/>
            </w:pPr>
            <w:r>
              <w:rPr>
                <w:sz w:val="15"/>
                <w:szCs w:val="15"/>
              </w:rPr>
              <w:t xml:space="preserve">(16 Nov–18 Dec)</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Issue collection templates to sites. Collect FY 2025-26 data and year-to-date FY 2026-27. Download public factor and benchmark datasets and record the version and date of each.</w:t>
            </w:r>
          </w:p>
        </w:tc>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Raw dataset; evidence folder</w:t>
            </w:r>
          </w:p>
        </w:tc>
        <w:tc>
          <w:tcPr>
            <w:tcW w:type="dxa" w:w="1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60</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4. Quality assurance and validation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9–12</w:t>
            </w:r>
          </w:p>
          <w:p>
            <w:pPr>
              <w:spacing w:after="30" w:line="250"/>
            </w:pPr>
            <w:r>
              <w:rPr>
                <w:sz w:val="15"/>
                <w:szCs w:val="15"/>
              </w:rPr>
              <w:t xml:space="preserve">(9 Dec–8 Jan)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Apply validation rules. Reconcile to finance and utility records. Investigate outliers. Perform four-eyes review. Resolve gaps with documented estimates.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Validated baseline; QA log</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50</w:t>
            </w:r>
          </w:p>
        </w:tc>
      </w:tr>
      <w:tr>
        <w:trPr>
          <w:cantSplit/>
        </w:trPr>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5. Analysis and benchmarking</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11–14</w:t>
            </w:r>
          </w:p>
          <w:p>
            <w:pPr>
              <w:spacing w:after="30" w:line="250"/>
            </w:pPr>
            <w:r>
              <w:rPr>
                <w:sz w:val="15"/>
                <w:szCs w:val="15"/>
              </w:rPr>
              <w:t xml:space="preserve">(1–22 Jan)</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Calculate emissions and KPIs. Compare with peers and public benchmarks. Run site and trend analysis. Draft target options.</w:t>
            </w:r>
          </w:p>
        </w:tc>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KPI baseline; benchmark pack</w:t>
            </w:r>
          </w:p>
        </w:tc>
        <w:tc>
          <w:tcPr>
            <w:tcW w:type="dxa" w:w="1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45</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6. Dashboard and reporting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13–16</w:t>
            </w:r>
          </w:p>
          <w:p>
            <w:pPr>
              <w:spacing w:after="30" w:line="250"/>
            </w:pPr>
            <w:r>
              <w:rPr>
                <w:sz w:val="15"/>
                <w:szCs w:val="15"/>
              </w:rPr>
              <w:t xml:space="preserve">(15 Jan–5 Feb)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Build KPI dashboard. Draft baseline report with methodology notes. Present to leadership and agree targets.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Dashboard; baseline report</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45</w:t>
            </w:r>
          </w:p>
        </w:tc>
      </w:tr>
      <w:tr>
        <w:trPr>
          <w:cantSplit/>
        </w:trPr>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7. Review and continuous improvement</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16 onward</w:t>
            </w:r>
          </w:p>
          <w:p>
            <w:pPr>
              <w:spacing w:after="30" w:line="250"/>
            </w:pPr>
            <w:r>
              <w:rPr>
                <w:sz w:val="15"/>
                <w:szCs w:val="15"/>
              </w:rPr>
              <w:t xml:space="preserve">(from Feb 2027)</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Lessons-learned review. Automate recurring feeds. Plan the next cycle and assurance readiness check.</w:t>
            </w:r>
          </w:p>
        </w:tc>
        <w:tc>
          <w:tcPr>
            <w:tcW w:type="dxa" w:w="1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Improvement roadmap</w:t>
            </w:r>
          </w:p>
        </w:tc>
        <w:tc>
          <w:tcPr>
            <w:tcW w:type="dxa" w:w="11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15</w:t>
            </w:r>
          </w:p>
        </w:tc>
      </w:tr>
    </w:tbl>
    <w:p>
      <w:pPr>
        <w:spacing w:after="160" w:before="60"/>
      </w:pPr>
      <w:r>
        <w:rPr>
          <w:i/>
          <w:iCs/>
          <w:color w:val="595959"/>
          <w:sz w:val="17"/>
          <w:szCs w:val="17"/>
        </w:rPr>
        <w:t xml:space="preserve">Table 7: Implementation timeline. Total indicative effort of roughly 310 hours for the data team; dates assume no holiday disruption (Diwali week may slow site responses).</w:t>
      </w:r>
    </w:p>
    <w:p>
      <w:pPr>
        <w:pStyle w:val="Heading2"/>
      </w:pPr>
      <w:r>
        <w:t xml:space="preserve">4.2 First 30 days: action list</w:t>
      </w:r>
    </w:p>
    <w:p>
      <w:pPr>
        <w:pStyle w:val="ListParagraph"/>
        <w:numPr>
          <w:ilvl w:val="0"/>
          <w:numId w:val="4"/>
        </w:numPr>
        <w:spacing w:after="70" w:line="270"/>
      </w:pPr>
      <w:r>
        <w:t xml:space="preserve">Appoint the ESG data lead and an executive sponsor; confirm the baseline year and boundary.</w:t>
      </w:r>
    </w:p>
    <w:p>
      <w:pPr>
        <w:pStyle w:val="ListParagraph"/>
        <w:numPr>
          <w:ilvl w:val="0"/>
          <w:numId w:val="4"/>
        </w:numPr>
        <w:spacing w:after="70" w:line="270"/>
      </w:pPr>
      <w:r>
        <w:t xml:space="preserve">Create a shared repository with folders for raw data, evidence, factors, calculations, and outputs, and set access controls.</w:t>
      </w:r>
    </w:p>
    <w:p>
      <w:pPr>
        <w:pStyle w:val="ListParagraph"/>
        <w:numPr>
          <w:ilvl w:val="0"/>
          <w:numId w:val="4"/>
        </w:numPr>
        <w:spacing w:after="70" w:line="270"/>
      </w:pPr>
      <w:r>
        <w:t xml:space="preserve">List all sites, their coordinates, activity types and existing metering. This is the foundation for water-stress and physical-risk screening.</w:t>
      </w:r>
    </w:p>
    <w:p>
      <w:pPr>
        <w:pStyle w:val="ListParagraph"/>
        <w:numPr>
          <w:ilvl w:val="0"/>
          <w:numId w:val="4"/>
        </w:numPr>
        <w:spacing w:after="70" w:line="270"/>
      </w:pPr>
      <w:r>
        <w:t xml:space="preserve">Hold a one-hour briefing for data owners on definitions, deadlines and evidence expectations.</w:t>
      </w:r>
    </w:p>
    <w:p>
      <w:pPr>
        <w:pStyle w:val="ListParagraph"/>
        <w:numPr>
          <w:ilvl w:val="0"/>
          <w:numId w:val="4"/>
        </w:numPr>
        <w:spacing w:after="70" w:line="270"/>
      </w:pPr>
      <w:r>
        <w:t xml:space="preserve">Draft the stakeholder materiality survey and send it to a representative sample.</w:t>
      </w:r>
    </w:p>
    <w:p>
      <w:pPr>
        <w:pStyle w:val="ListParagraph"/>
        <w:numPr>
          <w:ilvl w:val="0"/>
          <w:numId w:val="4"/>
        </w:numPr>
        <w:spacing w:after="70" w:line="270"/>
      </w:pPr>
      <w:r>
        <w:t xml:space="preserve">Download and archive reference datasets (emission factors, benchmarks) with the access date and version recorded.</w:t>
      </w:r>
    </w:p>
    <w:p>
      <w:pPr>
        <w:pStyle w:val="ListParagraph"/>
        <w:numPr>
          <w:ilvl w:val="0"/>
          <w:numId w:val="4"/>
        </w:numPr>
        <w:spacing w:after="70" w:line="270"/>
      </w:pPr>
      <w:r>
        <w:t xml:space="preserve">Set up the KPI tracker and data-quality log so that every issue found is recorded from the start.</w:t>
      </w:r>
    </w:p>
    <w:p>
      <w:pPr>
        <w:pStyle w:val="Heading2"/>
      </w:pPr>
      <w:r>
        <w:t xml:space="preserve">4.3 Milestones and decision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238"/>
      </w:tblGrid>
      <w:tr>
        <w:trPr>
          <w:cantSplit/>
          <w:tblHeader/>
        </w:trPr>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Gate</w:t>
            </w:r>
          </w:p>
        </w:tc>
        <w:tc>
          <w:tcPr>
            <w:tcW w:type="dxa" w:w="1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Timing</w:t>
            </w:r>
          </w:p>
        </w:tc>
        <w:tc>
          <w:tcPr>
            <w:tcW w:type="dxa" w:w="2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Decision</w:t>
            </w:r>
          </w:p>
        </w:tc>
        <w:tc>
          <w:tcPr>
            <w:tcW w:type="dxa" w:w="32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Pass criteria</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G1: Scope lock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End of week 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Approve metrics and KPIs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All mandatory BRSR Core and SASB items covered; owners named</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G2: Data readiness</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End of week 6</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Approve data dictionary and collection templates</w:t>
            </w:r>
          </w:p>
        </w:tc>
        <w:tc>
          <w:tcPr>
            <w:tcW w:type="dxa" w:w="3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Each KPI has a definition, a source and an owner; gaps logged with plan</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G3: Baseline sign-off</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End of week 12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Accept validated baseline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Validation pass rate above threshold; open issues documented</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G4: Target agreement</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Week 16</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Approve targets and reporting plan</w:t>
            </w:r>
          </w:p>
        </w:tc>
        <w:tc>
          <w:tcPr>
            <w:tcW w:type="dxa" w:w="3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Targets linked to baseline, benchmark and feasibility check</w:t>
            </w:r>
          </w:p>
        </w:tc>
      </w:tr>
    </w:tbl>
    <w:p>
      <w:pPr>
        <w:spacing w:after="160" w:before="60"/>
      </w:pPr>
      <w:r>
        <w:rPr>
          <w:i/>
          <w:iCs/>
          <w:color w:val="595959"/>
          <w:sz w:val="17"/>
          <w:szCs w:val="17"/>
        </w:rPr>
        <w:t xml:space="preserve">Table 8: Decision gates</w:t>
      </w:r>
    </w:p>
    <w:p>
      <w:pPr>
        <w:pStyle w:val="Heading1"/>
        <w:pageBreakBefore/>
      </w:pPr>
      <w:r>
        <w:t xml:space="preserve">5. Methodology: Collection, Quality Assurance, Validation and Risk</w:t>
      </w:r>
    </w:p>
    <w:p>
      <w:pPr>
        <w:pStyle w:val="Heading2"/>
      </w:pPr>
      <w:r>
        <w:t xml:space="preserve">5.1 Data gathering</w:t>
      </w:r>
    </w:p>
    <w:p>
      <w:pPr>
        <w:spacing w:after="120" w:before="0" w:line="276"/>
      </w:pPr>
      <w:r>
        <w:t xml:space="preserve">The data model separates three layers so that the origin of every number is clear:</w:t>
      </w:r>
    </w:p>
    <w:p>
      <w:pPr>
        <w:pStyle w:val="ListParagraph"/>
        <w:numPr>
          <w:ilvl w:val="0"/>
          <w:numId w:val="2"/>
        </w:numPr>
        <w:spacing w:after="70" w:line="270"/>
      </w:pPr>
      <w:r>
        <w:t xml:space="preserve"/>
      </w:r>
      <w:r>
        <w:rPr>
          <w:b/>
          <w:bCs/>
        </w:rPr>
        <w:t xml:space="preserve">Activity data (internal):</w:t>
      </w:r>
      <w:r>
        <w:t xml:space="preserve"> litres of diesel, kWh of electricity, kL of water, tonnes of waste, headcount, hours worked, incident counts. Collected from site templates, utility bills, HR and safety systems.</w:t>
      </w:r>
    </w:p>
    <w:p>
      <w:pPr>
        <w:pStyle w:val="ListParagraph"/>
        <w:numPr>
          <w:ilvl w:val="0"/>
          <w:numId w:val="2"/>
        </w:numPr>
        <w:spacing w:after="70" w:line="270"/>
      </w:pPr>
      <w:r>
        <w:t xml:space="preserve"/>
      </w:r>
      <w:r>
        <w:rPr>
          <w:b/>
          <w:bCs/>
        </w:rPr>
        <w:t xml:space="preserve">Factors and parameters (public):</w:t>
      </w:r>
      <w:r>
        <w:t xml:space="preserve"> emission factors, grid factors, conversion factors, global warming potentials. Stored in a versioned reference table with source, year and URL.</w:t>
      </w:r>
    </w:p>
    <w:p>
      <w:pPr>
        <w:pStyle w:val="ListParagraph"/>
        <w:numPr>
          <w:ilvl w:val="0"/>
          <w:numId w:val="2"/>
        </w:numPr>
        <w:spacing w:after="70" w:line="270"/>
      </w:pPr>
      <w:r>
        <w:t xml:space="preserve"/>
      </w:r>
      <w:r>
        <w:rPr>
          <w:b/>
          <w:bCs/>
        </w:rPr>
        <w:t xml:space="preserve">Calculated KPIs:</w:t>
      </w:r>
      <w:r>
        <w:t xml:space="preserve"> formulas applied in a documented calculation workbook, never overwritten by hand.</w:t>
      </w:r>
    </w:p>
    <w:p>
      <w:pPr>
        <w:pStyle w:val="Heading3"/>
      </w:pPr>
      <w:r>
        <w:t xml:space="preserve">Collection steps</w:t>
      </w:r>
    </w:p>
    <w:p>
      <w:pPr>
        <w:pStyle w:val="ListParagraph"/>
        <w:numPr>
          <w:ilvl w:val="0"/>
          <w:numId w:val="5"/>
        </w:numPr>
        <w:spacing w:after="70" w:line="270"/>
      </w:pPr>
      <w:r>
        <w:t xml:space="preserve"/>
      </w:r>
      <w:r>
        <w:rPr>
          <w:b/>
          <w:bCs/>
        </w:rPr>
        <w:t xml:space="preserve">Define:</w:t>
      </w:r>
      <w:r>
        <w:t xml:space="preserve"> each metric receives a data-dictionary entry (definition, unit, boundary, formula, source, owner, frequency, evidence required).</w:t>
      </w:r>
    </w:p>
    <w:p>
      <w:pPr>
        <w:pStyle w:val="ListParagraph"/>
        <w:numPr>
          <w:ilvl w:val="0"/>
          <w:numId w:val="5"/>
        </w:numPr>
        <w:spacing w:after="70" w:line="270"/>
      </w:pPr>
      <w:r>
        <w:t xml:space="preserve"/>
      </w:r>
      <w:r>
        <w:rPr>
          <w:b/>
          <w:bCs/>
        </w:rPr>
        <w:t xml:space="preserve">Collect internal data:</w:t>
      </w:r>
      <w:r>
        <w:t xml:space="preserve"> structured templates with drop-down units and mandatory fields; site owners submit by a fixed deadline and attach evidence (bill, meter photo, register extract).</w:t>
      </w:r>
    </w:p>
    <w:p>
      <w:pPr>
        <w:pStyle w:val="ListParagraph"/>
        <w:numPr>
          <w:ilvl w:val="0"/>
          <w:numId w:val="5"/>
        </w:numPr>
        <w:spacing w:after="70" w:line="270"/>
      </w:pPr>
      <w:r>
        <w:t xml:space="preserve"/>
      </w:r>
      <w:r>
        <w:rPr>
          <w:b/>
          <w:bCs/>
        </w:rPr>
        <w:t xml:space="preserve">Collect public data:</w:t>
      </w:r>
      <w:r>
        <w:t xml:space="preserve"> download from official portals or APIs where available; archive a copy, record the access date, version and licence terms.</w:t>
      </w:r>
    </w:p>
    <w:p>
      <w:pPr>
        <w:pStyle w:val="ListParagraph"/>
        <w:numPr>
          <w:ilvl w:val="0"/>
          <w:numId w:val="5"/>
        </w:numPr>
        <w:spacing w:after="70" w:line="270"/>
      </w:pPr>
      <w:r>
        <w:t xml:space="preserve"/>
      </w:r>
      <w:r>
        <w:rPr>
          <w:b/>
          <w:bCs/>
        </w:rPr>
        <w:t xml:space="preserve">Consolidate:</w:t>
      </w:r>
      <w:r>
        <w:t xml:space="preserve"> load into a single dataset with consistent keys (site ID, period, metric ID); no free-text units.</w:t>
      </w:r>
    </w:p>
    <w:p>
      <w:pPr>
        <w:pStyle w:val="ListParagraph"/>
        <w:numPr>
          <w:ilvl w:val="0"/>
          <w:numId w:val="5"/>
        </w:numPr>
        <w:spacing w:after="70" w:line="270"/>
      </w:pPr>
      <w:r>
        <w:t xml:space="preserve"/>
      </w:r>
      <w:r>
        <w:rPr>
          <w:b/>
          <w:bCs/>
        </w:rPr>
        <w:t xml:space="preserve">Calculate:</w:t>
      </w:r>
      <w:r>
        <w:t xml:space="preserve"> apply emission factors using GHG Protocol methods. Scope 2 is reported on both location-based and market-based methods. Scope 3 uses a spend- or activity-based screening approach for priority categories, with the method stated.</w:t>
      </w:r>
    </w:p>
    <w:p>
      <w:pPr>
        <w:pStyle w:val="ListParagraph"/>
        <w:numPr>
          <w:ilvl w:val="0"/>
          <w:numId w:val="5"/>
        </w:numPr>
        <w:spacing w:after="70" w:line="270"/>
      </w:pPr>
      <w:r>
        <w:t xml:space="preserve"/>
      </w:r>
      <w:r>
        <w:rPr>
          <w:b/>
          <w:bCs/>
        </w:rPr>
        <w:t xml:space="preserve">Review and release:</w:t>
      </w:r>
      <w:r>
        <w:t xml:space="preserve"> analyst prepares, ESG lead reviews, owner signs off; the dataset is frozen and versioned.</w:t>
      </w:r>
    </w:p>
    <w:p>
      <w:pPr>
        <w:pStyle w:val="Heading2"/>
      </w:pPr>
      <w:r>
        <w:t xml:space="preserve">5.2 Data quality assurance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Quality dimension</w:t>
            </w:r>
          </w:p>
        </w:tc>
        <w:tc>
          <w:tcPr>
            <w:tcW w:type="dxa" w:w="3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Check</w:t>
            </w:r>
          </w:p>
        </w:tc>
        <w:tc>
          <w:tcPr>
            <w:tcW w:type="dxa" w:w="45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Example rule (proposed)</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Completeness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Every site and period has a value or a documented reason for none</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No blank mandatory fields; submission rate of 100% before consolidation</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Accuracy</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Values agree with source evidence</w:t>
            </w:r>
          </w:p>
        </w:tc>
        <w:tc>
          <w:tcPr>
            <w:tcW w:type="dxa" w:w="45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Spot-check at least 10% of entries per site, 100% for entries above a materiality limit</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Consistency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Same definitions and units across sites and years</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Unit validation; boundary change log; restatement rule for changes above a set threshold</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Plausibility</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Values lie within expected ranges</w:t>
            </w:r>
          </w:p>
        </w:tc>
        <w:tc>
          <w:tcPr>
            <w:tcW w:type="dxa" w:w="45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Flag year-on-year changes beyond ±20% or values more than 3 standard deviations from the site history</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Timeliness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Data submitted and reviewed on schedule</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Late submissions escalated after 3 working days</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Traceability</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A reviewer can follow any figure back to evidence</w:t>
            </w:r>
          </w:p>
        </w:tc>
        <w:tc>
          <w:tcPr>
            <w:tcW w:type="dxa" w:w="45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Evidence link mandatory; calculation workbook protected; change log kept</w:t>
            </w:r>
          </w:p>
        </w:tc>
      </w:tr>
    </w:tbl>
    <w:p>
      <w:pPr>
        <w:spacing w:after="160" w:before="60"/>
      </w:pPr>
      <w:r>
        <w:rPr>
          <w:i/>
          <w:iCs/>
          <w:color w:val="595959"/>
          <w:sz w:val="17"/>
          <w:szCs w:val="17"/>
        </w:rPr>
        <w:t xml:space="preserve">Table 9: Data quality framework. Thresholds are starting points to be tuned on the baseline data.</w:t>
      </w:r>
    </w:p>
    <w:p>
      <w:pPr>
        <w:pStyle w:val="Heading2"/>
      </w:pPr>
      <w:r>
        <w:t xml:space="preserve">5.3 Validation</w:t>
      </w:r>
    </w:p>
    <w:p>
      <w:pPr>
        <w:pStyle w:val="ListParagraph"/>
        <w:numPr>
          <w:ilvl w:val="0"/>
          <w:numId w:val="2"/>
        </w:numPr>
        <w:spacing w:after="70" w:line="270"/>
      </w:pPr>
      <w:r>
        <w:t xml:space="preserve"/>
      </w:r>
      <w:r>
        <w:rPr>
          <w:b/>
          <w:bCs/>
        </w:rPr>
        <w:t xml:space="preserve">Reconciliation to financial and operational records:</w:t>
      </w:r>
      <w:r>
        <w:t xml:space="preserve"> electricity and fuel quantities against ledger spend; headcount against payroll; hours worked against attendance records.</w:t>
      </w:r>
    </w:p>
    <w:p>
      <w:pPr>
        <w:pStyle w:val="ListParagraph"/>
        <w:numPr>
          <w:ilvl w:val="0"/>
          <w:numId w:val="2"/>
        </w:numPr>
        <w:spacing w:after="70" w:line="270"/>
      </w:pPr>
      <w:r>
        <w:t xml:space="preserve"/>
      </w:r>
      <w:r>
        <w:rPr>
          <w:b/>
          <w:bCs/>
        </w:rPr>
        <w:t xml:space="preserve">Triangulation with public data:</w:t>
      </w:r>
      <w:r>
        <w:t xml:space="preserve"> compare intensity ratios with peer BRSR filings and benchmark sets. A result far outside the peer range is investigated, not automatically rejected.</w:t>
      </w:r>
    </w:p>
    <w:p>
      <w:pPr>
        <w:pStyle w:val="ListParagraph"/>
        <w:numPr>
          <w:ilvl w:val="0"/>
          <w:numId w:val="2"/>
        </w:numPr>
        <w:spacing w:after="70" w:line="270"/>
      </w:pPr>
      <w:r>
        <w:t xml:space="preserve"/>
      </w:r>
      <w:r>
        <w:rPr>
          <w:b/>
          <w:bCs/>
        </w:rPr>
        <w:t xml:space="preserve">Factor validation:</w:t>
      </w:r>
      <w:r>
        <w:t xml:space="preserve"> confirm every emission factor is the latest edition available, applies to the correct geography and fuel, and is recorded in the reference table.</w:t>
      </w:r>
    </w:p>
    <w:p>
      <w:pPr>
        <w:pStyle w:val="ListParagraph"/>
        <w:numPr>
          <w:ilvl w:val="0"/>
          <w:numId w:val="2"/>
        </w:numPr>
        <w:spacing w:after="70" w:line="270"/>
      </w:pPr>
      <w:r>
        <w:t xml:space="preserve"/>
      </w:r>
      <w:r>
        <w:rPr>
          <w:b/>
          <w:bCs/>
        </w:rPr>
        <w:t xml:space="preserve">Independent review:</w:t>
      </w:r>
      <w:r>
        <w:t xml:space="preserve"> a second analyst recalculates 100% of headline KPIs from raw data; differences are logged and resolved.</w:t>
      </w:r>
    </w:p>
    <w:p>
      <w:pPr>
        <w:pStyle w:val="ListParagraph"/>
        <w:numPr>
          <w:ilvl w:val="0"/>
          <w:numId w:val="2"/>
        </w:numPr>
        <w:spacing w:after="70" w:line="270"/>
      </w:pPr>
      <w:r>
        <w:t xml:space="preserve"/>
      </w:r>
      <w:r>
        <w:rPr>
          <w:b/>
          <w:bCs/>
        </w:rPr>
        <w:t xml:space="preserve">Assurance readiness check:</w:t>
      </w:r>
      <w:r>
        <w:t xml:space="preserve"> a mock walkthrough against the BRSR Core assurance format and ISAE 3000/3410-style expectations in the last two weeks of Phase 4. Confirm the assurance standard in force with the chosen assurance provider.</w:t>
      </w:r>
    </w:p>
    <w:p>
      <w:pPr>
        <w:pStyle w:val="ListParagraph"/>
        <w:numPr>
          <w:ilvl w:val="0"/>
          <w:numId w:val="2"/>
        </w:numPr>
        <w:spacing w:after="70" w:line="270"/>
      </w:pPr>
      <w:r>
        <w:t xml:space="preserve"/>
      </w:r>
      <w:r>
        <w:rPr>
          <w:b/>
          <w:bCs/>
        </w:rPr>
        <w:t xml:space="preserve">Sign-off:</w:t>
      </w:r>
      <w:r>
        <w:t xml:space="preserve"> site owner, function head and ESG lead sign each metric; the statement of responsibility is stored with the dataset.</w:t>
      </w:r>
    </w:p>
    <w:p>
      <w:pPr>
        <w:pStyle w:val="Heading2"/>
      </w:pPr>
      <w:r>
        <w:t xml:space="preserve">5.4 Governance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Role</w:t>
            </w:r>
          </w:p>
        </w:tc>
        <w:tc>
          <w:tcPr>
            <w:tcW w:type="dxa" w:w="6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Responsibilities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Executive sponsor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Owns scope decisions, removes blockers, presents to leadership</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ESG data lead</w:t>
            </w:r>
          </w:p>
        </w:tc>
        <w:tc>
          <w:tcPr>
            <w:tcW w:type="dxa" w:w="6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Owns data dictionary, QA framework, consolidated dataset and KPI dashboard</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Data analyst (this role)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Sources public data, builds calculations, performs checks, prepares reports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Site and function owners</w:t>
            </w:r>
          </w:p>
        </w:tc>
        <w:tc>
          <w:tcPr>
            <w:tcW w:type="dxa" w:w="6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Provide accurate activity data and evidence on time; sign off submissions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Internal audit / independent reviewer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Reviews controls and tests a sample before external assurance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Legal / privacy</w:t>
            </w:r>
          </w:p>
        </w:tc>
        <w:tc>
          <w:tcPr>
            <w:tcW w:type="dxa" w:w="6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Advises on employee-data handling and public-data licensing</w:t>
            </w:r>
          </w:p>
        </w:tc>
      </w:tr>
    </w:tbl>
    <w:p>
      <w:pPr>
        <w:spacing w:after="160"/>
      </w:pPr>
    </w:p>
    <w:p>
      <w:pPr>
        <w:pStyle w:val="Heading2"/>
      </w:pPr>
      <w:r>
        <w:t xml:space="preserve">5.5 Risk factors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
        <w:gridCol w:w="400"/>
        <w:gridCol w:w="4638"/>
        <w:gridCol w:w="1200"/>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Risk</w:t>
            </w:r>
          </w:p>
        </w:tc>
        <w:tc>
          <w:tcPr>
            <w:tcW w:type="dxa" w:w="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L</w:t>
            </w:r>
          </w:p>
        </w:tc>
        <w:tc>
          <w:tcPr>
            <w:tcW w:type="dxa" w:w="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I</w:t>
            </w:r>
          </w:p>
        </w:tc>
        <w:tc>
          <w:tcPr>
            <w:tcW w:type="dxa" w:w="4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Mitigation</w:t>
            </w:r>
          </w:p>
        </w:tc>
        <w:tc>
          <w:tcPr>
            <w:tcW w:type="dxa" w:w="12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Owner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Missing or incomplete site data (no meters, paper records)</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Prioritise material sites; use documented estimates with confidence flags; plan metering upgrades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ESG data lead</w:t>
            </w:r>
          </w:p>
        </w:tc>
      </w:tr>
      <w:tr>
        <w:trPr>
          <w:cantSplit/>
        </w:trPr>
        <w:tc>
          <w:tcPr>
            <w:tcW w:type="dxa" w:w="3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Inconsistent boundaries or definitions across sites</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Single data dictionary; boundary statement; training; change log with restatement policy</w:t>
            </w:r>
          </w:p>
        </w:tc>
        <w:tc>
          <w:tcPr>
            <w:tcW w:type="dxa" w:w="1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ESG data lead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Wrong or outdated emission factors</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Central versioned factor table; annual refresh; second-person review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Analyst</w:t>
            </w:r>
          </w:p>
        </w:tc>
      </w:tr>
      <w:tr>
        <w:trPr>
          <w:cantSplit/>
        </w:trPr>
        <w:tc>
          <w:tcPr>
            <w:tcW w:type="dxa" w:w="3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Public source changes, is withdrawn or has restrictive licence</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w:t>
            </w:r>
          </w:p>
        </w:tc>
        <w:tc>
          <w:tcPr>
            <w:tcW w:type="dxa" w:w="4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Archive each download with date and version; use at least two sources for key benchmarks; check terms of reuse</w:t>
            </w:r>
          </w:p>
        </w:tc>
        <w:tc>
          <w:tcPr>
            <w:tcW w:type="dxa" w:w="1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Analyst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Misuse of modelled data (Climate TRACE, EDGAR) as company-reported values</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Label modelled data as benchmarks only; keep separate from internal data in the model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ESG data lead</w:t>
            </w:r>
          </w:p>
        </w:tc>
      </w:tr>
      <w:tr>
        <w:trPr>
          <w:cantSplit/>
        </w:trPr>
        <w:tc>
          <w:tcPr>
            <w:tcW w:type="dxa" w:w="3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Scope 3 estimates are of low quality</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w:t>
            </w:r>
          </w:p>
        </w:tc>
        <w:tc>
          <w:tcPr>
            <w:tcW w:type="dxa" w:w="4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Screen first; focus on top categories; state method and uncertainty; improve with supplier data over time</w:t>
            </w:r>
          </w:p>
        </w:tc>
        <w:tc>
          <w:tcPr>
            <w:tcW w:type="dxa" w:w="1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Procurement + ESG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Regulatory change (ISSB adoption, BRSR relaxations, ESRS simplification)</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Quarterly regulatory watch; map metrics to several frameworks so changes affect mapping, not collection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ESG data lead</w:t>
            </w:r>
          </w:p>
        </w:tc>
      </w:tr>
      <w:tr>
        <w:trPr>
          <w:cantSplit/>
        </w:trPr>
        <w:tc>
          <w:tcPr>
            <w:tcW w:type="dxa" w:w="3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Manual errors in spreadsheets</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M</w:t>
            </w:r>
          </w:p>
        </w:tc>
        <w:tc>
          <w:tcPr>
            <w:tcW w:type="dxa" w:w="4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Validation rules, protected formulas, four-eyes review; migrate to a managed tool when volumes justify it</w:t>
            </w:r>
          </w:p>
        </w:tc>
        <w:tc>
          <w:tcPr>
            <w:tcW w:type="dxa" w:w="1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Analyst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Weak ownership or data fatigue at sites</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Named owners; short templates; clear deadlines; sponsor support; feedback on how data is used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Sponsor</w:t>
            </w:r>
          </w:p>
        </w:tc>
      </w:tr>
      <w:tr>
        <w:trPr>
          <w:cantSplit/>
        </w:trPr>
        <w:tc>
          <w:tcPr>
            <w:tcW w:type="dxa" w:w="3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Employee data privacy (e.g. DPDP Act 2023 in India, GDPR for EU staff)</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L</w:t>
            </w:r>
          </w:p>
        </w:tc>
        <w:tc>
          <w:tcPr>
            <w:tcW w:type="dxa" w:w="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Aggregate wherever possible; restrict access; legal review of HR data flows</w:t>
            </w:r>
          </w:p>
        </w:tc>
        <w:tc>
          <w:tcPr>
            <w:tcW w:type="dxa" w:w="1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sz w:val="15"/>
                <w:szCs w:val="15"/>
              </w:rPr>
              <w:t xml:space="preserve">Legal / HR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Greenwashing perception from selective or unverified claims</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M</w:t>
            </w:r>
          </w:p>
        </w:tc>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H</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Disclose methods and limitations; avoid claims without evidence; prepare for external assurance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sz w:val="15"/>
                <w:szCs w:val="15"/>
              </w:rPr>
              <w:t xml:space="preserve">Sponsor</w:t>
            </w:r>
          </w:p>
        </w:tc>
      </w:tr>
    </w:tbl>
    <w:p>
      <w:pPr>
        <w:spacing w:after="160" w:before="60"/>
      </w:pPr>
      <w:r>
        <w:rPr>
          <w:i/>
          <w:iCs/>
          <w:color w:val="595959"/>
          <w:sz w:val="17"/>
          <w:szCs w:val="17"/>
        </w:rPr>
        <w:t xml:space="preserve">Table 10: Risk register (L = likelihood, I = impact; H = high, M = medium, L = low)</w:t>
      </w:r>
    </w:p>
    <w:p>
      <w:pPr>
        <w:pStyle w:val="Heading1"/>
      </w:pPr>
      <w:r>
        <w:t xml:space="preserve">6. Conclusion</w:t>
      </w:r>
    </w:p>
    <w:p>
      <w:pPr>
        <w:spacing w:after="200"/>
      </w:pPr>
    </w:p>
    <w:p>
      <w:pPr>
        <w:pStyle w:val="Heading2"/>
      </w:pPr>
      <w:r>
        <w:t xml:space="preserve">6.1 Summary of approach</w:t>
      </w:r>
    </w:p>
    <w:p>
      <w:pPr>
        <w:spacing w:after="120" w:before="0" w:line="276"/>
      </w:pPr>
      <w:r>
        <w:t xml:space="preserve">The strategy treats ESG data as a managed asset. It starts with the decisions the Organization needs to make, selects 30 metrics and 14 initial KPIs that map to GRI, ISSB/SASB and BRSR Core, and draws on a deliberately limited set of authoritative public sources for factors, benchmarks and risk screening. The 16-week plan moves from scope confirmation to a validated baseline and KPI dashboard, with quality checks and independent review built into the process rather than added at the end.</w:t>
      </w:r>
    </w:p>
    <w:p>
      <w:pPr>
        <w:pStyle w:val="Heading2"/>
      </w:pPr>
      <w:r>
        <w:t xml:space="preserve">6.2 Anticipated challenges and proposed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cantSplit/>
          <w:tblHeader/>
        </w:trPr>
        <w:tc>
          <w:tcPr>
            <w:tcW w:type="dxa" w:w="21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Challenge</w:t>
            </w:r>
          </w:p>
        </w:tc>
        <w:tc>
          <w:tcPr>
            <w:tcW w:type="dxa" w:w="3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How it is likely to appear</w:t>
            </w:r>
          </w:p>
        </w:tc>
        <w:tc>
          <w:tcPr>
            <w:tcW w:type="dxa" w:w="3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Proposed solution</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Data availability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Sites without sub-metering; supplier data not available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Phased coverage; estimates flagged; metering and supplier-data roadmap</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Moving regulations</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ISSB uptake is spreading, BRSR value-chain provisions have been relaxed and the simplified ESRS were still being finalised</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Framework mapping layer; quarterly watch; avoid hard-coding to a single regime</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Comparability of public benchmarks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Different boundaries, years and definitions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Compare ratios not totals; record benchmark year and definition; use ranges</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Capacity and ownership</w:t>
            </w:r>
          </w:p>
        </w:tc>
        <w:tc>
          <w:tcPr>
            <w:tcW w:type="dxa" w:w="3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Competing site priorities</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Executive sponsor; light templates; recognition of good data quality</w:t>
            </w:r>
          </w:p>
        </w:tc>
      </w:tr>
      <w:tr>
        <w:trPr>
          <w:cantSplit/>
        </w:trPr>
        <w:tc>
          <w:tcPr>
            <w:tcW w:type="dxa" w:w="21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Credibility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Stakeholders question unverified numbers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Assurance-ready controls; transparent methodology notes; honest statement of limitations</w:t>
            </w:r>
          </w:p>
        </w:tc>
      </w:tr>
    </w:tbl>
    <w:p>
      <w:pPr>
        <w:spacing w:after="160"/>
      </w:pPr>
    </w:p>
    <w:p>
      <w:pPr>
        <w:pStyle w:val="Heading2"/>
      </w:pPr>
      <w:r>
        <w:t xml:space="preserve">6.3 Next steps</w:t>
      </w:r>
    </w:p>
    <w:p>
      <w:pPr>
        <w:pStyle w:val="ListParagraph"/>
        <w:numPr>
          <w:ilvl w:val="0"/>
          <w:numId w:val="2"/>
        </w:numPr>
        <w:spacing w:after="70" w:line="270"/>
      </w:pPr>
      <w:r>
        <w:t xml:space="preserve">Obtain approval of scope, boundary and metric list at Gate 1.</w:t>
      </w:r>
    </w:p>
    <w:p>
      <w:pPr>
        <w:pStyle w:val="ListParagraph"/>
        <w:numPr>
          <w:ilvl w:val="0"/>
          <w:numId w:val="2"/>
        </w:numPr>
        <w:spacing w:after="70" w:line="270"/>
      </w:pPr>
      <w:r>
        <w:t xml:space="preserve">Complete the source register and data dictionary (Appendix A is the starting template).</w:t>
      </w:r>
    </w:p>
    <w:p>
      <w:pPr>
        <w:pStyle w:val="ListParagraph"/>
        <w:numPr>
          <w:ilvl w:val="0"/>
          <w:numId w:val="2"/>
        </w:numPr>
        <w:spacing w:after="70" w:line="270"/>
      </w:pPr>
      <w:r>
        <w:t xml:space="preserve">Launch baseline collection and set up the reference-data archive.</w:t>
      </w:r>
    </w:p>
    <w:p>
      <w:pPr>
        <w:pStyle w:val="ListParagraph"/>
        <w:numPr>
          <w:ilvl w:val="0"/>
          <w:numId w:val="2"/>
        </w:numPr>
        <w:spacing w:after="70" w:line="270"/>
      </w:pPr>
      <w:r>
        <w:t xml:space="preserve">Prepare the first leadership briefing using the draft KPI sheet.</w:t>
      </w:r>
    </w:p>
    <w:p>
      <w:pPr>
        <w:pStyle w:val="Heading1"/>
        <w:pageBreakBefore/>
      </w:pPr>
      <w:r>
        <w:t xml:space="preserve">Appendix A – Draft Data Dictionary (extract)</w:t>
      </w:r>
    </w:p>
    <w:p>
      <w:pPr>
        <w:spacing w:after="120" w:before="0" w:line="276"/>
      </w:pPr>
      <w:r>
        <w:t xml:space="preserve">Each metric in Table 5 will have a full entry. Three examples show the level of detail expected.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50"/>
        <w:gridCol w:w="2750"/>
        <w:gridCol w:w="2638"/>
      </w:tblGrid>
      <w:tr>
        <w:trPr>
          <w:cantSplit/>
          <w:tblHeader/>
        </w:trPr>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Field</w:t>
            </w:r>
          </w:p>
        </w:tc>
        <w:tc>
          <w:tcPr>
            <w:tcW w:type="dxa" w:w="275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Scope 2 emissions (E2)</w:t>
            </w:r>
          </w:p>
        </w:tc>
        <w:tc>
          <w:tcPr>
            <w:tcW w:type="dxa" w:w="275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Total recordable injury rate (S4)</w:t>
            </w:r>
          </w:p>
        </w:tc>
        <w:tc>
          <w:tcPr>
            <w:tcW w:type="dxa" w:w="2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Women in management (S2)</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Definition</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Indirect GHG emissions from purchased electricity, steam, heating and cooling</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Recordable work-related injuries per million hours worked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Share of management roles held by women</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Unit</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tCO2e</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Injuries per 1,000,000 hours</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 of management headcount</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Formula</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Σ (kWh × grid factor); also market-based using supplier or certificate factors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Recordable injuries × 1,000,000 ÷ hours worked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Women in management ÷ total management × 100</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Boundary</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All sites under operational control</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Employees and contract workers on site</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Defined management grades; list kept in HR policy</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Primary source</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Electricity bills; renewable certificates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Safety incident register; attendance system</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HR information system</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Public source</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CEA CO2 Baseline Database; IEA</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ILOSTAT (benchmark)</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World Bank gender data (context)</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Evidence</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Bill copies; certificate IDs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Incident reports; hours report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HR extract with date</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Frequency / owner</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Quarterly / Energy lead</w:t>
            </w:r>
          </w:p>
        </w:tc>
        <w:tc>
          <w:tcPr>
            <w:tcW w:type="dxa" w:w="27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Monthly / Safety head</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Half-yearly / HR head</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5"/>
                <w:szCs w:val="15"/>
              </w:rPr>
              <w:t xml:space="preserve">Key checks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kWh vs ledger spend; factor year; double-count of renewables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Hours reconcile to payroll; classification consistent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Headcount reconciles to payroll</w:t>
            </w:r>
          </w:p>
        </w:tc>
      </w:tr>
    </w:tbl>
    <w:p>
      <w:pPr>
        <w:spacing w:after="240"/>
      </w:pPr>
    </w:p>
    <w:p>
      <w:pPr>
        <w:pStyle w:val="Heading1"/>
      </w:pPr>
      <w: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Term</w:t>
            </w:r>
          </w:p>
        </w:tc>
        <w:tc>
          <w:tcPr>
            <w:tcW w:type="dxa" w:w="72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Meaning</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BRSR / BRSR Core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Business Responsibility and Sustainability Report required by SEBI for large listed Indian companies; BRSR Core is a subset of key indicators intended for assurance</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CSRD / ESRS</w:t>
            </w:r>
          </w:p>
        </w:tc>
        <w:tc>
          <w:tcPr>
            <w:tcW w:type="dxa" w:w="7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EU Corporate Sustainability Reporting Directive and European Sustainability Reporting Standards</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ESG</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Environmental, Social and Governance</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GHG Protocol</w:t>
            </w:r>
          </w:p>
        </w:tc>
        <w:tc>
          <w:tcPr>
            <w:tcW w:type="dxa" w:w="7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Widely used standard for measuring greenhouse gas emissions</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GRI</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Global Reporting Initiative</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ISSB / IFRS S1, S2</w:t>
            </w:r>
          </w:p>
        </w:tc>
        <w:tc>
          <w:tcPr>
            <w:tcW w:type="dxa" w:w="7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International Sustainability Standards Board; general sustainability and climate disclosure standards</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KPI</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Key performance indicator: a metric managed against a target</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SASB</w:t>
            </w:r>
          </w:p>
        </w:tc>
        <w:tc>
          <w:tcPr>
            <w:tcW w:type="dxa" w:w="7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Sustainability Accounting Standards Board industry-specific standards, now maintained by the ISSB</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Scope 1 / 2 / 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Direct emissions; indirect emissions from purchased energy; other indirect emissions in the value chain</w:t>
            </w:r>
          </w:p>
        </w:tc>
      </w:tr>
      <w:tr>
        <w:trPr>
          <w:cantSplit/>
        </w:trPr>
        <w:tc>
          <w:tcPr>
            <w:tcW w:type="dxa" w:w="24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tCO2e</w:t>
            </w:r>
          </w:p>
        </w:tc>
        <w:tc>
          <w:tcPr>
            <w:tcW w:type="dxa" w:w="72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Tonnes of carbon dioxide equivalent</w:t>
            </w:r>
          </w:p>
        </w:tc>
      </w:tr>
    </w:tbl>
    <w:p>
      <w:pPr>
        <w:pStyle w:val="Heading1"/>
        <w:pageBreakBefore/>
      </w:pPr>
      <w:r>
        <w:t xml:space="preserve">Sources</w:t>
      </w:r>
    </w:p>
    <w:p>
      <w:pPr>
        <w:spacing w:after="100" w:before="0" w:line="276"/>
      </w:pPr>
      <w:r>
        <w:t xml:space="preserve">Web sources consulted in October 2026 for the regulatory snapshot (summaries; verify against primary texts):</w:t>
      </w:r>
    </w:p>
    <w:p>
      <w:pPr>
        <w:pStyle w:val="ListParagraph"/>
        <w:numPr>
          <w:ilvl w:val="0"/>
          <w:numId w:val="2"/>
        </w:numPr>
        <w:spacing w:after="70" w:line="270"/>
      </w:pPr>
      <w:r>
        <w:t xml:space="preserve">S&amp;P Global Sustainable1, “Where does the world stand on ISSB adoption?” (August 2026): https://www.spglobal.com/sustainable1/en/insights/research-reports/issb-q3-2026</w:t>
      </w:r>
    </w:p>
    <w:p>
      <w:pPr>
        <w:pStyle w:val="ListParagraph"/>
        <w:numPr>
          <w:ilvl w:val="0"/>
          <w:numId w:val="2"/>
        </w:numPr>
        <w:spacing w:after="70" w:line="270"/>
      </w:pPr>
      <w:r>
        <w:t xml:space="preserve">S&amp;P Global Sustainable1, ISSB adoption update (May 2026): https://www.spglobal.com/sustainable1/en/insights/research-reports/issb-q2-2026</w:t>
      </w:r>
    </w:p>
    <w:p>
      <w:pPr>
        <w:pStyle w:val="ListParagraph"/>
        <w:numPr>
          <w:ilvl w:val="0"/>
          <w:numId w:val="2"/>
        </w:numPr>
        <w:spacing w:after="70" w:line="270"/>
      </w:pPr>
      <w:r>
        <w:t xml:space="preserve">IFRS Foundation, ISSB updates (February 2026): https://www.ifrs.org/content/dam/ifrs/meetings/2026/february/scc/ap1-issb-updates.pdf</w:t>
      </w:r>
    </w:p>
    <w:p>
      <w:pPr>
        <w:pStyle w:val="ListParagraph"/>
        <w:numPr>
          <w:ilvl w:val="0"/>
          <w:numId w:val="2"/>
        </w:numPr>
        <w:spacing w:after="70" w:line="270"/>
      </w:pPr>
      <w:r>
        <w:t xml:space="preserve">KPMG, “Two years in: adoption of the ISSB Standards”: https://kpmg.com/ae/en/insights/esg/adoption-of-the-issb-standards.html</w:t>
      </w:r>
    </w:p>
    <w:p>
      <w:pPr>
        <w:pStyle w:val="ListParagraph"/>
        <w:numPr>
          <w:ilvl w:val="0"/>
          <w:numId w:val="2"/>
        </w:numPr>
        <w:spacing w:after="70" w:line="270"/>
      </w:pPr>
      <w:r>
        <w:t xml:space="preserve">Benchmark Gensuite, BRSR Core assurance for the top 1000 (2026): https://benchmarkgensuite.com/ehs-blog-india/2026-brsr-core-assurance/</w:t>
      </w:r>
    </w:p>
    <w:p>
      <w:pPr>
        <w:pStyle w:val="ListParagraph"/>
        <w:numPr>
          <w:ilvl w:val="0"/>
          <w:numId w:val="2"/>
        </w:numPr>
        <w:spacing w:after="70" w:line="270"/>
      </w:pPr>
      <w:r>
        <w:t xml:space="preserve">GreenSutra, BRSR in 2026: https://greensutra.in/news/brsr-all-you-need-to-know/</w:t>
      </w:r>
    </w:p>
    <w:p>
      <w:pPr>
        <w:pStyle w:val="ListParagraph"/>
        <w:numPr>
          <w:ilvl w:val="0"/>
          <w:numId w:val="2"/>
        </w:numPr>
        <w:spacing w:after="70" w:line="270"/>
      </w:pPr>
      <w:r>
        <w:t xml:space="preserve">OneStop ESG, India BRSR Core compliance (July 2026): https://onestopesg.com/esg-resources/india-brsr-core-compliance</w:t>
      </w:r>
    </w:p>
    <w:p>
      <w:pPr>
        <w:pStyle w:val="ListParagraph"/>
        <w:numPr>
          <w:ilvl w:val="0"/>
          <w:numId w:val="2"/>
        </w:numPr>
        <w:spacing w:after="70" w:line="270"/>
      </w:pPr>
      <w:r>
        <w:t xml:space="preserve">KPMG India, SEBI framework on BRSR Core and value chain (2023): https://assets.kpmg.com/content/dam/kpmg/in/pdf/2023/07/firstnotes-sebi-framework-on-brsr-core-value-chain-disclosures-assurance-by-listed-entities.pdf</w:t>
      </w:r>
    </w:p>
    <w:p>
      <w:pPr>
        <w:pStyle w:val="ListParagraph"/>
        <w:numPr>
          <w:ilvl w:val="0"/>
          <w:numId w:val="2"/>
        </w:numPr>
        <w:spacing w:after="70" w:line="270"/>
      </w:pPr>
      <w:r>
        <w:t xml:space="preserve">Climate-X, CSRD after Omnibus I: https://climate-x.com/regulation/csrd</w:t>
      </w:r>
    </w:p>
    <w:p>
      <w:pPr>
        <w:pStyle w:val="ListParagraph"/>
        <w:numPr>
          <w:ilvl w:val="0"/>
          <w:numId w:val="2"/>
        </w:numPr>
        <w:spacing w:after="70" w:line="270"/>
      </w:pPr>
      <w:r>
        <w:t xml:space="preserve">ClimatePartner, CSRD after the Omnibus (April 2026): https://www.climatepartner.com/en/knowledge/blog/csrd-after-the-omnibus</w:t>
      </w:r>
    </w:p>
    <w:p>
      <w:pPr>
        <w:pStyle w:val="ListParagraph"/>
        <w:numPr>
          <w:ilvl w:val="0"/>
          <w:numId w:val="2"/>
        </w:numPr>
        <w:spacing w:after="70" w:line="270"/>
      </w:pPr>
      <w:r>
        <w:t xml:space="preserve">Watershed, Sustainability omnibus: the latest changes: https://watershed.com/blog/sustainability-omnibus-the-latest-changes-and-what-they-mean-for-companies</w:t>
      </w:r>
    </w:p>
    <w:p>
      <w:pPr>
        <w:pStyle w:val="ListParagraph"/>
        <w:numPr>
          <w:ilvl w:val="0"/>
          <w:numId w:val="2"/>
        </w:numPr>
        <w:spacing w:after="70" w:line="270"/>
      </w:pPr>
      <w:r>
        <w:t xml:space="preserve">Shin &amp; Kim, Omnibus I and simplified ESRS timeline (Korean-language newsletter): https://www.shinkim.com/kor/media/newsletter/3155</w:t>
      </w:r>
    </w:p>
    <w:p>
      <w:pPr>
        <w:spacing w:after="120" w:before="160" w:line="276"/>
      </w:pPr>
      <w:r>
        <w:rPr>
          <w:color w:val="595959"/>
          <w:sz w:val="18"/>
          <w:szCs w:val="18"/>
        </w:rPr>
        <w:t xml:space="preserve">Reference frameworks and datasets named in Section 2 (GRI, ISSB/SASB, GHG Protocol, World Bank, UN SDG Global Database, Our World in Data, IEA, Climate TRACE, EDGAR, CEA, BEE, CPCB, DEFRA/DESNZ, US EPA, WRI Aqueduct, Global Forest Watch, Protected Planet, ILOSTAT, WHO, Transparency International, CDP, SBTi) are described from general knowledge of their published scope; confirm current access terms and versions on each publisher’s site before use.</w:t>
      </w:r>
    </w:p>
    <w:sectPr>
      <w:headerReference w:type="default" r:id="rId7"/>
      <w:headerReference w:type="first" r:id="rId8"/>
      <w:footerReference w:type="default" r:id="rId9"/>
      <w:footerReference w:type="first" r:id="rId10"/>
      <w:pgSz w:w="11906" w:h="16838" w:orient="portrait"/>
      <w:pgMar w:top="1247"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Sustainability Data Strategy  |  Week 1 Task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5C3F" w:sz="8" w:space="4"/>
      </w:pBdr>
      <w:spacing w:after="220" w:before="0"/>
      <w:outlineLvl w:val="0"/>
    </w:pPr>
    <w:rPr>
      <w:rFonts w:ascii="Calibri" w:cs="Calibri" w:eastAsia="Calibri" w:hAnsi="Calibri"/>
      <w:b/>
      <w:bCs/>
      <w:color w:val="1F5C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1F5C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Data Strategy</dc:title>
  <dc:creator>Sustainability Data Analyst Intern</dc:creator>
  <cp:lastModifiedBy>Un-named</cp:lastModifiedBy>
  <cp:revision>1</cp:revision>
  <dcterms:created xsi:type="dcterms:W3CDTF">2026-10-04T13:25:36.269Z</dcterms:created>
  <dcterms:modified xsi:type="dcterms:W3CDTF">2026-10-04T13:25:36.274Z</dcterms:modified>
</cp:coreProperties>
</file>

<file path=docProps/custom.xml><?xml version="1.0" encoding="utf-8"?>
<Properties xmlns="http://schemas.openxmlformats.org/officeDocument/2006/custom-properties" xmlns:vt="http://schemas.openxmlformats.org/officeDocument/2006/docPropsVTypes"/>
</file>